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C6" w:rsidRPr="00AF174C" w:rsidRDefault="003807C6" w:rsidP="00AA0AE8">
      <w:pPr>
        <w:snapToGrid w:val="0"/>
        <w:spacing w:line="360" w:lineRule="auto"/>
        <w:jc w:val="center"/>
        <w:rPr>
          <w:rFonts w:ascii="黑体" w:eastAsia="黑体" w:hAnsi="宋体"/>
          <w:b/>
          <w:color w:val="000000"/>
          <w:sz w:val="32"/>
          <w:szCs w:val="36"/>
        </w:rPr>
      </w:pPr>
      <w:bookmarkStart w:id="0" w:name="_GoBack"/>
      <w:bookmarkEnd w:id="0"/>
      <w:r w:rsidRPr="00AF174C">
        <w:rPr>
          <w:rFonts w:ascii="黑体" w:eastAsia="黑体" w:hAnsi="宋体" w:hint="eastAsia"/>
          <w:b/>
          <w:color w:val="000000"/>
          <w:sz w:val="32"/>
          <w:szCs w:val="36"/>
        </w:rPr>
        <w:t>锐意改革，争创一流，</w:t>
      </w:r>
      <w:r>
        <w:rPr>
          <w:rFonts w:ascii="黑体" w:eastAsia="黑体" w:hAnsi="宋体" w:hint="eastAsia"/>
          <w:b/>
          <w:color w:val="000000"/>
          <w:sz w:val="32"/>
          <w:szCs w:val="36"/>
        </w:rPr>
        <w:t>共</w:t>
      </w:r>
      <w:r w:rsidRPr="00AF174C">
        <w:rPr>
          <w:rFonts w:ascii="黑体" w:eastAsia="黑体" w:hAnsi="宋体" w:hint="eastAsia"/>
          <w:b/>
          <w:color w:val="000000"/>
          <w:sz w:val="32"/>
          <w:szCs w:val="36"/>
        </w:rPr>
        <w:t>谱学校“十三五”发展新篇章</w:t>
      </w:r>
    </w:p>
    <w:p w:rsidR="003807C6" w:rsidRPr="00AF174C" w:rsidRDefault="003807C6" w:rsidP="00AA0AE8">
      <w:pPr>
        <w:snapToGrid w:val="0"/>
        <w:spacing w:line="360" w:lineRule="auto"/>
        <w:jc w:val="center"/>
        <w:rPr>
          <w:rFonts w:ascii="楷体_GB2312" w:eastAsia="楷体_GB2312" w:hAnsi="Times New Roman"/>
          <w:b/>
          <w:bCs/>
          <w:color w:val="000000"/>
          <w:sz w:val="30"/>
          <w:szCs w:val="30"/>
        </w:rPr>
      </w:pPr>
      <w:r w:rsidRPr="00AF174C">
        <w:rPr>
          <w:rFonts w:ascii="楷体_GB2312" w:eastAsia="楷体_GB2312" w:hAnsi="Times New Roman"/>
          <w:b/>
          <w:bCs/>
          <w:color w:val="000000"/>
          <w:sz w:val="30"/>
          <w:szCs w:val="30"/>
        </w:rPr>
        <w:t>——</w:t>
      </w:r>
      <w:r w:rsidRPr="00AF174C">
        <w:rPr>
          <w:rFonts w:ascii="楷体_GB2312" w:eastAsia="楷体_GB2312" w:hAnsi="Times New Roman" w:hint="eastAsia"/>
          <w:b/>
          <w:bCs/>
          <w:color w:val="000000"/>
          <w:sz w:val="30"/>
          <w:szCs w:val="30"/>
        </w:rPr>
        <w:t>樊丽明校长在上海财经大学第六届第四次教职工代表大会暨第七届第四次工会会员代表大会上的工作报告</w:t>
      </w:r>
    </w:p>
    <w:p w:rsidR="003807C6" w:rsidRPr="00AF174C" w:rsidRDefault="003807C6" w:rsidP="00CC6232">
      <w:pPr>
        <w:snapToGrid w:val="0"/>
        <w:spacing w:beforeLines="50" w:afterLines="50" w:line="360" w:lineRule="auto"/>
        <w:jc w:val="center"/>
        <w:rPr>
          <w:rFonts w:ascii="楷体_GB2312" w:eastAsia="楷体_GB2312" w:hAnsi="Times New Roman"/>
          <w:b/>
          <w:bCs/>
          <w:color w:val="000000"/>
          <w:sz w:val="30"/>
          <w:szCs w:val="30"/>
        </w:rPr>
      </w:pPr>
      <w:r w:rsidRPr="00AF174C">
        <w:rPr>
          <w:rFonts w:ascii="楷体_GB2312" w:eastAsia="楷体_GB2312" w:hAnsi="Times New Roman" w:hint="eastAsia"/>
          <w:b/>
          <w:bCs/>
          <w:color w:val="000000"/>
          <w:sz w:val="30"/>
          <w:szCs w:val="30"/>
        </w:rPr>
        <w:t>（</w:t>
      </w:r>
      <w:smartTag w:uri="urn:schemas-microsoft-com:office:smarttags" w:element="chsdate">
        <w:smartTagPr>
          <w:attr w:name="IsROCDate" w:val="False"/>
          <w:attr w:name="IsLunarDate" w:val="False"/>
          <w:attr w:name="Day" w:val="22"/>
          <w:attr w:name="Month" w:val="3"/>
          <w:attr w:name="Year" w:val="2016"/>
        </w:smartTagPr>
        <w:r w:rsidRPr="00AF174C">
          <w:rPr>
            <w:rFonts w:ascii="楷体_GB2312" w:eastAsia="楷体_GB2312" w:hAnsi="Times New Roman"/>
            <w:b/>
            <w:bCs/>
            <w:color w:val="000000"/>
            <w:sz w:val="30"/>
            <w:szCs w:val="30"/>
          </w:rPr>
          <w:t>2016</w:t>
        </w:r>
        <w:r w:rsidRPr="00AF174C">
          <w:rPr>
            <w:rFonts w:ascii="楷体_GB2312" w:eastAsia="楷体_GB2312" w:hAnsi="Times New Roman" w:hint="eastAsia"/>
            <w:b/>
            <w:bCs/>
            <w:color w:val="000000"/>
            <w:sz w:val="30"/>
            <w:szCs w:val="30"/>
          </w:rPr>
          <w:t>年</w:t>
        </w:r>
        <w:r w:rsidRPr="00AF174C">
          <w:rPr>
            <w:rFonts w:ascii="楷体_GB2312" w:eastAsia="楷体_GB2312" w:hAnsi="Times New Roman"/>
            <w:b/>
            <w:bCs/>
            <w:color w:val="000000"/>
            <w:sz w:val="30"/>
            <w:szCs w:val="30"/>
          </w:rPr>
          <w:t>3</w:t>
        </w:r>
        <w:r w:rsidRPr="00AF174C">
          <w:rPr>
            <w:rFonts w:ascii="楷体_GB2312" w:eastAsia="楷体_GB2312" w:hAnsi="Times New Roman" w:hint="eastAsia"/>
            <w:b/>
            <w:bCs/>
            <w:color w:val="000000"/>
            <w:sz w:val="30"/>
            <w:szCs w:val="30"/>
          </w:rPr>
          <w:t>月</w:t>
        </w:r>
        <w:r>
          <w:rPr>
            <w:rFonts w:ascii="楷体_GB2312" w:eastAsia="楷体_GB2312" w:hAnsi="Times New Roman"/>
            <w:b/>
            <w:bCs/>
            <w:color w:val="000000"/>
            <w:sz w:val="30"/>
            <w:szCs w:val="30"/>
          </w:rPr>
          <w:t>22</w:t>
        </w:r>
        <w:r>
          <w:rPr>
            <w:rFonts w:ascii="楷体_GB2312" w:eastAsia="楷体_GB2312" w:hAnsi="Times New Roman" w:hint="eastAsia"/>
            <w:b/>
            <w:bCs/>
            <w:color w:val="000000"/>
            <w:sz w:val="30"/>
            <w:szCs w:val="30"/>
          </w:rPr>
          <w:t>日</w:t>
        </w:r>
      </w:smartTag>
      <w:r w:rsidRPr="00AF174C">
        <w:rPr>
          <w:rFonts w:ascii="楷体_GB2312" w:eastAsia="楷体_GB2312" w:hAnsi="Times New Roman" w:hint="eastAsia"/>
          <w:b/>
          <w:bCs/>
          <w:color w:val="000000"/>
          <w:sz w:val="30"/>
          <w:szCs w:val="30"/>
        </w:rPr>
        <w:t>）</w:t>
      </w:r>
    </w:p>
    <w:p w:rsidR="003807C6" w:rsidRPr="00AF174C" w:rsidRDefault="003807C6" w:rsidP="00AA0AE8">
      <w:pPr>
        <w:snapToGrid w:val="0"/>
        <w:spacing w:line="360" w:lineRule="auto"/>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各位代表：</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大家好！现在我代表学校向大会作工作报告，请予审议，并请各位代表和与会同志提出宝贵意见。</w:t>
      </w:r>
    </w:p>
    <w:p w:rsidR="003807C6" w:rsidRPr="00AF174C" w:rsidRDefault="003807C6" w:rsidP="00CC6232">
      <w:pPr>
        <w:snapToGrid w:val="0"/>
        <w:spacing w:beforeLines="100" w:afterLines="100"/>
        <w:jc w:val="center"/>
        <w:outlineLvl w:val="0"/>
        <w:rPr>
          <w:rFonts w:ascii="黑体" w:eastAsia="黑体" w:hAnsi="Times New Roman"/>
          <w:b/>
          <w:bCs/>
          <w:color w:val="000000"/>
          <w:sz w:val="30"/>
          <w:szCs w:val="30"/>
        </w:rPr>
      </w:pPr>
      <w:r w:rsidRPr="00AF174C">
        <w:rPr>
          <w:rFonts w:ascii="黑体" w:eastAsia="黑体" w:hAnsi="Times New Roman" w:hint="eastAsia"/>
          <w:b/>
          <w:bCs/>
          <w:color w:val="000000"/>
          <w:sz w:val="30"/>
          <w:szCs w:val="30"/>
        </w:rPr>
        <w:t>一、学校“十二五”事业发展回顾</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bCs/>
          <w:color w:val="000000"/>
          <w:sz w:val="28"/>
          <w:szCs w:val="28"/>
        </w:rPr>
        <w:t>2015</w:t>
      </w:r>
      <w:r w:rsidRPr="00AF174C">
        <w:rPr>
          <w:rFonts w:ascii="楷体_GB2312" w:eastAsia="楷体_GB2312" w:hAnsi="Times New Roman" w:hint="eastAsia"/>
          <w:bCs/>
          <w:color w:val="000000"/>
          <w:sz w:val="28"/>
          <w:szCs w:val="28"/>
        </w:rPr>
        <w:t>年是学校全面完成“十二五规划”的收官之年，也是实施综合改革方案、谋划“十三五”发展蓝图的关键之年。回首过去五年，全校师生员工团结一心，深入学习贯彻党的十八大、十八届三中四中五中全会和习近平总书记系列重要讲话精神，紧扣创建具有鲜明财经特色的高水平研究型大学发展目标，坚持改革创新，提升内涵质量，推动学校事业发展取得长足进步，圆满完成“十二五”规划目标任务，为“十三五”顺利开局打下了坚实基础。</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（一）育人为本，</w:t>
      </w:r>
      <w:r>
        <w:rPr>
          <w:rFonts w:ascii="黑体" w:eastAsia="黑体" w:hAnsi="Times New Roman" w:hint="eastAsia"/>
          <w:b/>
          <w:bCs/>
          <w:color w:val="000000"/>
          <w:sz w:val="28"/>
          <w:szCs w:val="28"/>
        </w:rPr>
        <w:t>卓越财经人才培养模式改革成效显著</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坚持“复合型、外向型、创新型”</w:t>
      </w:r>
      <w:r>
        <w:rPr>
          <w:rFonts w:ascii="楷体_GB2312" w:eastAsia="楷体_GB2312" w:hAnsi="Times New Roman" w:hint="eastAsia"/>
          <w:bCs/>
          <w:color w:val="000000"/>
          <w:sz w:val="28"/>
          <w:szCs w:val="28"/>
        </w:rPr>
        <w:t>的</w:t>
      </w:r>
      <w:r w:rsidRPr="00A06BFF">
        <w:rPr>
          <w:rFonts w:ascii="楷体_GB2312" w:eastAsia="楷体_GB2312" w:hAnsi="Times New Roman" w:hint="eastAsia"/>
          <w:bCs/>
          <w:color w:val="000000"/>
          <w:sz w:val="28"/>
          <w:szCs w:val="28"/>
        </w:rPr>
        <w:t>培养</w:t>
      </w:r>
      <w:r>
        <w:rPr>
          <w:rFonts w:ascii="楷体_GB2312" w:eastAsia="楷体_GB2312" w:hAnsi="Times New Roman" w:hint="eastAsia"/>
          <w:bCs/>
          <w:color w:val="000000"/>
          <w:sz w:val="28"/>
          <w:szCs w:val="28"/>
        </w:rPr>
        <w:t>目标</w:t>
      </w:r>
      <w:r w:rsidRPr="00A06BFF">
        <w:rPr>
          <w:rFonts w:ascii="楷体_GB2312" w:eastAsia="楷体_GB2312" w:hAnsi="Times New Roman" w:hint="eastAsia"/>
          <w:bCs/>
          <w:color w:val="000000"/>
          <w:sz w:val="28"/>
          <w:szCs w:val="28"/>
        </w:rPr>
        <w:t>定位</w:t>
      </w:r>
      <w:r w:rsidRPr="00AF174C">
        <w:rPr>
          <w:rFonts w:ascii="楷体_GB2312" w:eastAsia="楷体_GB2312" w:hAnsi="Times New Roman" w:hint="eastAsia"/>
          <w:bCs/>
          <w:color w:val="000000"/>
          <w:sz w:val="28"/>
          <w:szCs w:val="28"/>
        </w:rPr>
        <w:t>，促进学生“素质、知识、能力、体格”全面发展，为国家和社会培养富有社会责任感、创新精神、国际视野和实践能力的卓越财经人才。</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Pr>
          <w:rFonts w:ascii="楷体_GB2312" w:eastAsia="楷体_GB2312" w:hAnsi="Times New Roman" w:hint="eastAsia"/>
          <w:b/>
          <w:bCs/>
          <w:color w:val="000000"/>
          <w:sz w:val="28"/>
          <w:szCs w:val="28"/>
        </w:rPr>
        <w:t>稳定规模，</w:t>
      </w:r>
      <w:r w:rsidRPr="00AF174C">
        <w:rPr>
          <w:rFonts w:ascii="楷体_GB2312" w:eastAsia="楷体_GB2312" w:hAnsi="Times New Roman" w:hint="eastAsia"/>
          <w:b/>
          <w:bCs/>
          <w:color w:val="000000"/>
          <w:sz w:val="28"/>
          <w:szCs w:val="28"/>
        </w:rPr>
        <w:t>优化结构。</w:t>
      </w:r>
      <w:r w:rsidRPr="00AF174C">
        <w:rPr>
          <w:rFonts w:ascii="楷体_GB2312" w:eastAsia="楷体_GB2312" w:hAnsi="Times New Roman" w:hint="eastAsia"/>
          <w:bCs/>
          <w:color w:val="000000"/>
          <w:sz w:val="28"/>
          <w:szCs w:val="28"/>
        </w:rPr>
        <w:t>“十二五”末，学校全日制在校生规模</w:t>
      </w:r>
      <w:r w:rsidRPr="00AF174C">
        <w:rPr>
          <w:rFonts w:ascii="楷体_GB2312" w:eastAsia="楷体_GB2312" w:hAnsi="Times New Roman"/>
          <w:bCs/>
          <w:color w:val="000000"/>
          <w:sz w:val="28"/>
          <w:szCs w:val="28"/>
        </w:rPr>
        <w:t>14980</w:t>
      </w:r>
      <w:r w:rsidRPr="00AF174C">
        <w:rPr>
          <w:rFonts w:ascii="楷体_GB2312" w:eastAsia="楷体_GB2312" w:hAnsi="Times New Roman" w:hint="eastAsia"/>
          <w:bCs/>
          <w:color w:val="000000"/>
          <w:sz w:val="28"/>
          <w:szCs w:val="28"/>
        </w:rPr>
        <w:t>人，较“十一五”末增长</w:t>
      </w:r>
      <w:r w:rsidRPr="00AF174C">
        <w:rPr>
          <w:rFonts w:ascii="楷体_GB2312" w:eastAsia="楷体_GB2312" w:hAnsi="Times New Roman"/>
          <w:bCs/>
          <w:color w:val="000000"/>
          <w:sz w:val="28"/>
          <w:szCs w:val="28"/>
        </w:rPr>
        <w:t>9.4%</w:t>
      </w:r>
      <w:r w:rsidRPr="00AF174C">
        <w:rPr>
          <w:rFonts w:ascii="楷体_GB2312" w:eastAsia="楷体_GB2312" w:hAnsi="Times New Roman" w:hint="eastAsia"/>
          <w:bCs/>
          <w:color w:val="000000"/>
          <w:sz w:val="28"/>
          <w:szCs w:val="28"/>
        </w:rPr>
        <w:t>。其中，本科生</w:t>
      </w:r>
      <w:r w:rsidRPr="00AF174C">
        <w:rPr>
          <w:rFonts w:ascii="楷体_GB2312" w:eastAsia="楷体_GB2312" w:hAnsi="Times New Roman"/>
          <w:bCs/>
          <w:color w:val="000000"/>
          <w:sz w:val="28"/>
          <w:szCs w:val="28"/>
        </w:rPr>
        <w:t>8027</w:t>
      </w:r>
      <w:r w:rsidRPr="00AF174C">
        <w:rPr>
          <w:rFonts w:ascii="楷体_GB2312" w:eastAsia="楷体_GB2312" w:hAnsi="Times New Roman" w:hint="eastAsia"/>
          <w:bCs/>
          <w:color w:val="000000"/>
          <w:sz w:val="28"/>
          <w:szCs w:val="28"/>
        </w:rPr>
        <w:t>人，研究生</w:t>
      </w:r>
      <w:r w:rsidRPr="00AF174C">
        <w:rPr>
          <w:rFonts w:ascii="楷体_GB2312" w:eastAsia="楷体_GB2312" w:hAnsi="Times New Roman"/>
          <w:bCs/>
          <w:color w:val="000000"/>
          <w:sz w:val="28"/>
          <w:szCs w:val="28"/>
        </w:rPr>
        <w:t>6194</w:t>
      </w:r>
      <w:r w:rsidRPr="00AF174C">
        <w:rPr>
          <w:rFonts w:ascii="楷体_GB2312" w:eastAsia="楷体_GB2312" w:hAnsi="Times New Roman" w:hint="eastAsia"/>
          <w:bCs/>
          <w:color w:val="000000"/>
          <w:sz w:val="28"/>
          <w:szCs w:val="28"/>
        </w:rPr>
        <w:t>人（博士生</w:t>
      </w:r>
      <w:r w:rsidRPr="00AF174C">
        <w:rPr>
          <w:rFonts w:ascii="楷体_GB2312" w:eastAsia="楷体_GB2312" w:hAnsi="Times New Roman"/>
          <w:bCs/>
          <w:color w:val="000000"/>
          <w:sz w:val="28"/>
          <w:szCs w:val="28"/>
        </w:rPr>
        <w:t>1075</w:t>
      </w:r>
      <w:r w:rsidRPr="00AF174C">
        <w:rPr>
          <w:rFonts w:ascii="楷体_GB2312" w:eastAsia="楷体_GB2312" w:hAnsi="Times New Roman" w:hint="eastAsia"/>
          <w:bCs/>
          <w:color w:val="000000"/>
          <w:sz w:val="28"/>
          <w:szCs w:val="28"/>
        </w:rPr>
        <w:t>人，硕士生</w:t>
      </w:r>
      <w:r w:rsidRPr="00AF174C">
        <w:rPr>
          <w:rFonts w:ascii="楷体_GB2312" w:eastAsia="楷体_GB2312" w:hAnsi="Times New Roman"/>
          <w:bCs/>
          <w:color w:val="000000"/>
          <w:sz w:val="28"/>
          <w:szCs w:val="28"/>
        </w:rPr>
        <w:t>5119</w:t>
      </w:r>
      <w:r w:rsidRPr="00AF174C">
        <w:rPr>
          <w:rFonts w:ascii="楷体_GB2312" w:eastAsia="楷体_GB2312" w:hAnsi="Times New Roman" w:hint="eastAsia"/>
          <w:bCs/>
          <w:color w:val="000000"/>
          <w:sz w:val="28"/>
          <w:szCs w:val="28"/>
        </w:rPr>
        <w:t>人），留学生（学历学位生）</w:t>
      </w:r>
      <w:r w:rsidRPr="00AF174C">
        <w:rPr>
          <w:rFonts w:ascii="楷体_GB2312" w:eastAsia="楷体_GB2312" w:hAnsi="Times New Roman"/>
          <w:bCs/>
          <w:color w:val="000000"/>
          <w:sz w:val="28"/>
          <w:szCs w:val="28"/>
        </w:rPr>
        <w:t>759</w:t>
      </w:r>
      <w:r w:rsidRPr="00AF174C">
        <w:rPr>
          <w:rFonts w:ascii="楷体_GB2312" w:eastAsia="楷体_GB2312" w:hAnsi="Times New Roman" w:hint="eastAsia"/>
          <w:bCs/>
          <w:color w:val="000000"/>
          <w:sz w:val="28"/>
          <w:szCs w:val="28"/>
        </w:rPr>
        <w:t>人。本研比进一步降至</w:t>
      </w:r>
      <w:r w:rsidRPr="00AF174C">
        <w:rPr>
          <w:rFonts w:ascii="楷体_GB2312" w:eastAsia="楷体_GB2312" w:hAnsi="Times New Roman"/>
          <w:bCs/>
          <w:color w:val="000000"/>
          <w:sz w:val="28"/>
          <w:szCs w:val="28"/>
        </w:rPr>
        <w:t>1.4:1</w:t>
      </w:r>
      <w:r w:rsidRPr="00AF174C">
        <w:rPr>
          <w:rFonts w:ascii="楷体_GB2312" w:eastAsia="楷体_GB2312" w:hAnsi="Times New Roman" w:hint="eastAsia"/>
          <w:bCs/>
          <w:color w:val="000000"/>
          <w:sz w:val="28"/>
          <w:szCs w:val="28"/>
        </w:rPr>
        <w:t>，学术学位研究生与专业研究生</w:t>
      </w:r>
      <w:r w:rsidRPr="00A06BFF">
        <w:rPr>
          <w:rFonts w:ascii="楷体_GB2312" w:eastAsia="楷体_GB2312" w:hAnsi="Times New Roman" w:hint="eastAsia"/>
          <w:bCs/>
          <w:color w:val="000000"/>
          <w:sz w:val="28"/>
          <w:szCs w:val="28"/>
        </w:rPr>
        <w:t>之比约</w:t>
      </w:r>
      <w:r w:rsidRPr="0048599F">
        <w:rPr>
          <w:rFonts w:ascii="楷体_GB2312" w:eastAsia="楷体_GB2312" w:hAnsi="Times New Roman"/>
          <w:bCs/>
          <w:color w:val="000000"/>
          <w:sz w:val="28"/>
          <w:szCs w:val="28"/>
        </w:rPr>
        <w:t>3.8:6.2</w:t>
      </w:r>
      <w:r w:rsidRPr="00AF174C">
        <w:rPr>
          <w:rFonts w:ascii="楷体_GB2312" w:eastAsia="楷体_GB2312" w:hAnsi="Times New Roman" w:hint="eastAsia"/>
          <w:bCs/>
          <w:color w:val="000000"/>
          <w:sz w:val="28"/>
          <w:szCs w:val="28"/>
        </w:rPr>
        <w:t>。</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落实立德树人根本任务，促进</w:t>
      </w:r>
      <w:r>
        <w:rPr>
          <w:rFonts w:ascii="楷体_GB2312" w:eastAsia="楷体_GB2312" w:hAnsi="Times New Roman" w:hint="eastAsia"/>
          <w:b/>
          <w:bCs/>
          <w:color w:val="000000"/>
          <w:sz w:val="28"/>
          <w:szCs w:val="28"/>
        </w:rPr>
        <w:t>德智体美</w:t>
      </w:r>
      <w:r w:rsidRPr="00AF174C">
        <w:rPr>
          <w:rFonts w:ascii="楷体_GB2312" w:eastAsia="楷体_GB2312" w:hAnsi="Times New Roman" w:hint="eastAsia"/>
          <w:b/>
          <w:bCs/>
          <w:color w:val="000000"/>
          <w:sz w:val="28"/>
          <w:szCs w:val="28"/>
        </w:rPr>
        <w:t>融合</w:t>
      </w:r>
      <w:r>
        <w:rPr>
          <w:rFonts w:ascii="楷体_GB2312" w:eastAsia="楷体_GB2312" w:hAnsi="Times New Roman" w:hint="eastAsia"/>
          <w:b/>
          <w:bCs/>
          <w:color w:val="000000"/>
          <w:sz w:val="28"/>
          <w:szCs w:val="28"/>
        </w:rPr>
        <w:t>教育</w:t>
      </w:r>
      <w:r w:rsidRPr="00AF174C">
        <w:rPr>
          <w:rFonts w:ascii="楷体_GB2312" w:eastAsia="楷体_GB2312" w:hAnsi="Times New Roman" w:hint="eastAsia"/>
          <w:b/>
          <w:bCs/>
          <w:color w:val="000000"/>
          <w:sz w:val="28"/>
          <w:szCs w:val="28"/>
        </w:rPr>
        <w:t>。</w:t>
      </w:r>
      <w:r w:rsidRPr="00AF174C">
        <w:rPr>
          <w:rFonts w:ascii="楷体_GB2312" w:eastAsia="楷体_GB2312" w:hAnsi="Times New Roman" w:hint="eastAsia"/>
          <w:bCs/>
          <w:color w:val="000000"/>
          <w:sz w:val="28"/>
          <w:szCs w:val="28"/>
        </w:rPr>
        <w:t>探索推进思政课教学改革，创新教学手段，丰富课堂体验，推动社会主义核心价值观入脑见行。依托“科学·人文”大讲堂等品牌项目，邀请知名专家学者来校开讲，形成学生科学人文素养培养的长效机制。连续八年开展“千村调查”，累计</w:t>
      </w:r>
      <w:r w:rsidRPr="00AF174C">
        <w:rPr>
          <w:rFonts w:ascii="楷体_GB2312" w:eastAsia="楷体_GB2312" w:hAnsi="Times New Roman"/>
          <w:bCs/>
          <w:color w:val="000000"/>
          <w:sz w:val="28"/>
          <w:szCs w:val="28"/>
        </w:rPr>
        <w:t>9265</w:t>
      </w:r>
      <w:r w:rsidRPr="00AF174C">
        <w:rPr>
          <w:rFonts w:ascii="楷体_GB2312" w:eastAsia="楷体_GB2312" w:hAnsi="Times New Roman" w:hint="eastAsia"/>
          <w:bCs/>
          <w:color w:val="000000"/>
          <w:sz w:val="28"/>
          <w:szCs w:val="28"/>
        </w:rPr>
        <w:t>支队伍走访涵盖</w:t>
      </w:r>
      <w:r w:rsidRPr="00AF174C">
        <w:rPr>
          <w:rFonts w:ascii="楷体_GB2312" w:eastAsia="楷体_GB2312" w:hAnsi="Times New Roman"/>
          <w:bCs/>
          <w:color w:val="000000"/>
          <w:sz w:val="28"/>
          <w:szCs w:val="28"/>
        </w:rPr>
        <w:t>31</w:t>
      </w:r>
      <w:r w:rsidRPr="00AF174C">
        <w:rPr>
          <w:rFonts w:ascii="楷体_GB2312" w:eastAsia="楷体_GB2312" w:hAnsi="Times New Roman" w:hint="eastAsia"/>
          <w:bCs/>
          <w:color w:val="000000"/>
          <w:sz w:val="28"/>
          <w:szCs w:val="28"/>
        </w:rPr>
        <w:t>个省</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市、自治区</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的</w:t>
      </w:r>
      <w:r w:rsidRPr="00AF174C">
        <w:rPr>
          <w:rFonts w:ascii="楷体_GB2312" w:eastAsia="楷体_GB2312" w:hAnsi="Times New Roman"/>
          <w:bCs/>
          <w:color w:val="000000"/>
          <w:sz w:val="28"/>
          <w:szCs w:val="28"/>
        </w:rPr>
        <w:t>7381</w:t>
      </w:r>
      <w:r w:rsidRPr="00AF174C">
        <w:rPr>
          <w:rFonts w:ascii="楷体_GB2312" w:eastAsia="楷体_GB2312" w:hAnsi="Times New Roman" w:hint="eastAsia"/>
          <w:bCs/>
          <w:color w:val="000000"/>
          <w:sz w:val="28"/>
          <w:szCs w:val="28"/>
        </w:rPr>
        <w:t>个村庄、</w:t>
      </w:r>
      <w:r w:rsidRPr="00AF174C">
        <w:rPr>
          <w:rFonts w:ascii="楷体_GB2312" w:eastAsia="楷体_GB2312" w:hAnsi="Times New Roman"/>
          <w:bCs/>
          <w:color w:val="000000"/>
          <w:sz w:val="28"/>
          <w:szCs w:val="28"/>
        </w:rPr>
        <w:t>97986</w:t>
      </w:r>
      <w:r w:rsidRPr="00AF174C">
        <w:rPr>
          <w:rFonts w:ascii="楷体_GB2312" w:eastAsia="楷体_GB2312" w:hAnsi="Times New Roman" w:hint="eastAsia"/>
          <w:bCs/>
          <w:color w:val="000000"/>
          <w:sz w:val="28"/>
          <w:szCs w:val="28"/>
        </w:rPr>
        <w:t>户农户，获得上海市级教学成果奖特等奖、国家级教学成果奖二等奖等多项荣誉。打造特色志愿服务品牌，建立参与广泛、内容丰富、形式多样、机制健全的学生志愿服务体系。实行课内外一体化的体育俱乐部教学模式，营造阳光体育氛围，上财学子在棋类、游泳等特色体育项目上屡屡为国争光。发挥学生艺术团作用，推进艺术教育普及，提升学生艺术素养，校学生民乐团连续三届获全国大学生艺术展演一等奖。</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启动新一轮教育教学改革，实现人才培养模式转型升级。在本科生方面</w:t>
      </w:r>
      <w:r w:rsidRPr="00AF174C">
        <w:rPr>
          <w:rFonts w:ascii="楷体_GB2312" w:eastAsia="楷体_GB2312" w:hAnsi="Times New Roman" w:hint="eastAsia"/>
          <w:bCs/>
          <w:color w:val="000000"/>
          <w:sz w:val="28"/>
          <w:szCs w:val="28"/>
        </w:rPr>
        <w:t>，推出通识教育建设方案、学分制调整方案等改革新举措，探索拔尖计划、卓越计划和创业计划“三类型”人才培养模式，实施通识教育、学科基础和专业课程“三阶段”课程建设计划，建立实践体验、研究体验和国际体验在内的综合体验学习体系。开设新生研讨课、高年级研讨课等，国家级精品课程达到</w:t>
      </w:r>
      <w:r w:rsidRPr="00AF174C">
        <w:rPr>
          <w:rFonts w:ascii="楷体_GB2312" w:eastAsia="楷体_GB2312" w:hAnsi="Times New Roman"/>
          <w:bCs/>
          <w:color w:val="000000"/>
          <w:sz w:val="28"/>
          <w:szCs w:val="28"/>
        </w:rPr>
        <w:t>1</w:t>
      </w:r>
      <w:r>
        <w:rPr>
          <w:rFonts w:ascii="楷体_GB2312" w:eastAsia="楷体_GB2312" w:hAnsi="Times New Roman"/>
          <w:bCs/>
          <w:color w:val="000000"/>
          <w:sz w:val="28"/>
          <w:szCs w:val="28"/>
        </w:rPr>
        <w:t>4</w:t>
      </w:r>
      <w:r w:rsidRPr="00AF174C">
        <w:rPr>
          <w:rFonts w:ascii="楷体_GB2312" w:eastAsia="楷体_GB2312" w:hAnsi="Times New Roman" w:hint="eastAsia"/>
          <w:bCs/>
          <w:color w:val="000000"/>
          <w:sz w:val="28"/>
          <w:szCs w:val="28"/>
        </w:rPr>
        <w:t>门，较“十一五”末</w:t>
      </w:r>
      <w:r w:rsidRPr="00AF174C">
        <w:rPr>
          <w:rFonts w:ascii="楷体_GB2312" w:eastAsia="楷体_GB2312" w:hAnsi="Times New Roman"/>
          <w:bCs/>
          <w:color w:val="000000"/>
          <w:sz w:val="28"/>
          <w:szCs w:val="28"/>
        </w:rPr>
        <w:t>7</w:t>
      </w:r>
      <w:r w:rsidRPr="00AF174C">
        <w:rPr>
          <w:rFonts w:ascii="楷体_GB2312" w:eastAsia="楷体_GB2312" w:hAnsi="Times New Roman" w:hint="eastAsia"/>
          <w:bCs/>
          <w:color w:val="000000"/>
          <w:sz w:val="28"/>
          <w:szCs w:val="28"/>
        </w:rPr>
        <w:t>门增长一倍。</w:t>
      </w:r>
      <w:r w:rsidRPr="00AF174C">
        <w:rPr>
          <w:rFonts w:ascii="楷体_GB2312" w:eastAsia="楷体_GB2312" w:hAnsi="Times New Roman" w:hint="eastAsia"/>
          <w:b/>
          <w:bCs/>
          <w:color w:val="000000"/>
          <w:sz w:val="28"/>
          <w:szCs w:val="28"/>
        </w:rPr>
        <w:t>在研究生方面</w:t>
      </w:r>
      <w:r w:rsidRPr="00AF174C">
        <w:rPr>
          <w:rFonts w:ascii="楷体_GB2312" w:eastAsia="楷体_GB2312" w:hAnsi="Times New Roman" w:hint="eastAsia"/>
          <w:bCs/>
          <w:color w:val="000000"/>
          <w:sz w:val="28"/>
          <w:szCs w:val="28"/>
        </w:rPr>
        <w:t>，推进实施学科优化、导师岗聘、教学提升、学术之星、行业菁英、支持与保障等“六大计划”，形成分类培养、多学科交叉融合培养模式。设立对接国家战略和市场需求的多学科交叉融合研究生培养项目，探索</w:t>
      </w:r>
      <w:r>
        <w:rPr>
          <w:rFonts w:ascii="楷体_GB2312" w:eastAsia="楷体_GB2312" w:hAnsi="Times New Roman" w:hint="eastAsia"/>
          <w:bCs/>
          <w:color w:val="000000"/>
          <w:sz w:val="28"/>
          <w:szCs w:val="28"/>
        </w:rPr>
        <w:t>国际组织人才和</w:t>
      </w:r>
      <w:r w:rsidRPr="00AF174C">
        <w:rPr>
          <w:rFonts w:ascii="楷体_GB2312" w:eastAsia="楷体_GB2312" w:hAnsi="Times New Roman" w:hint="eastAsia"/>
          <w:bCs/>
          <w:color w:val="000000"/>
          <w:sz w:val="28"/>
          <w:szCs w:val="28"/>
        </w:rPr>
        <w:t>自贸区人才培养</w:t>
      </w:r>
      <w:r>
        <w:rPr>
          <w:rFonts w:ascii="楷体_GB2312" w:eastAsia="楷体_GB2312" w:hAnsi="Times New Roman" w:hint="eastAsia"/>
          <w:bCs/>
          <w:color w:val="000000"/>
          <w:sz w:val="28"/>
          <w:szCs w:val="28"/>
        </w:rPr>
        <w:t>创新</w:t>
      </w:r>
      <w:r w:rsidRPr="00AF174C">
        <w:rPr>
          <w:rFonts w:ascii="楷体_GB2312" w:eastAsia="楷体_GB2312" w:hAnsi="Times New Roman" w:hint="eastAsia"/>
          <w:bCs/>
          <w:color w:val="000000"/>
          <w:sz w:val="28"/>
          <w:szCs w:val="28"/>
        </w:rPr>
        <w:t>模式。“十二五”期间获得国家级教学成果奖二等奖</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项，全国百篇优秀博士学位论文</w:t>
      </w:r>
      <w:r w:rsidRPr="00AF174C">
        <w:rPr>
          <w:rFonts w:ascii="楷体_GB2312" w:eastAsia="楷体_GB2312" w:hAnsi="Times New Roman"/>
          <w:bCs/>
          <w:color w:val="000000"/>
          <w:sz w:val="28"/>
          <w:szCs w:val="28"/>
        </w:rPr>
        <w:t>1</w:t>
      </w:r>
      <w:r w:rsidRPr="00AF174C">
        <w:rPr>
          <w:rFonts w:ascii="楷体_GB2312" w:eastAsia="楷体_GB2312" w:hAnsi="Times New Roman" w:hint="eastAsia"/>
          <w:bCs/>
          <w:color w:val="000000"/>
          <w:sz w:val="28"/>
          <w:szCs w:val="28"/>
        </w:rPr>
        <w:t>篇、提名</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篇，全国优秀专业硕士学位论文</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篇、提名</w:t>
      </w:r>
      <w:r w:rsidRPr="00AF174C">
        <w:rPr>
          <w:rFonts w:ascii="楷体_GB2312" w:eastAsia="楷体_GB2312" w:hAnsi="Times New Roman"/>
          <w:bCs/>
          <w:color w:val="000000"/>
          <w:sz w:val="28"/>
          <w:szCs w:val="28"/>
        </w:rPr>
        <w:t>1</w:t>
      </w:r>
      <w:r w:rsidRPr="00AF174C">
        <w:rPr>
          <w:rFonts w:ascii="楷体_GB2312" w:eastAsia="楷体_GB2312" w:hAnsi="Times New Roman" w:hint="eastAsia"/>
          <w:bCs/>
          <w:color w:val="000000"/>
          <w:sz w:val="28"/>
          <w:szCs w:val="28"/>
        </w:rPr>
        <w:t>篇，全国专业硕士学位优秀案例</w:t>
      </w:r>
      <w:r w:rsidRPr="00AF174C">
        <w:rPr>
          <w:rFonts w:ascii="楷体_GB2312" w:eastAsia="楷体_GB2312" w:hAnsi="Times New Roman"/>
          <w:bCs/>
          <w:color w:val="000000"/>
          <w:sz w:val="28"/>
          <w:szCs w:val="28"/>
        </w:rPr>
        <w:t>8</w:t>
      </w:r>
      <w:r w:rsidRPr="00AF174C">
        <w:rPr>
          <w:rFonts w:ascii="楷体_GB2312" w:eastAsia="楷体_GB2312" w:hAnsi="Times New Roman" w:hint="eastAsia"/>
          <w:bCs/>
          <w:color w:val="000000"/>
          <w:sz w:val="28"/>
          <w:szCs w:val="28"/>
        </w:rPr>
        <w:t>篇。</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健全创新创业教育协同机制，营造创新创业校园氛围。</w:t>
      </w:r>
      <w:r w:rsidRPr="00AF174C">
        <w:rPr>
          <w:rFonts w:ascii="楷体_GB2312" w:eastAsia="楷体_GB2312" w:hAnsi="Times New Roman" w:hint="eastAsia"/>
          <w:bCs/>
          <w:color w:val="000000"/>
          <w:sz w:val="28"/>
          <w:szCs w:val="28"/>
        </w:rPr>
        <w:t>响应“大众创业、万众创新”号召，成立创业学院，打造众创平台，开办匡时班，构建全覆盖、分层次的创业教育体系，培育“服务</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”创新创业型人才</w:t>
      </w:r>
      <w:r>
        <w:rPr>
          <w:rFonts w:ascii="楷体_GB2312" w:eastAsia="楷体_GB2312" w:hAnsi="Times New Roman" w:hint="eastAsia"/>
          <w:bCs/>
          <w:color w:val="000000"/>
          <w:sz w:val="28"/>
          <w:szCs w:val="28"/>
        </w:rPr>
        <w:t>特色</w:t>
      </w:r>
      <w:r w:rsidRPr="00AF174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首期匡时班</w:t>
      </w:r>
      <w:r w:rsidRPr="00A06BFF">
        <w:rPr>
          <w:rFonts w:ascii="楷体_GB2312" w:eastAsia="楷体_GB2312" w:hAnsi="Times New Roman"/>
          <w:bCs/>
          <w:color w:val="000000"/>
          <w:sz w:val="28"/>
          <w:szCs w:val="28"/>
        </w:rPr>
        <w:t>37</w:t>
      </w:r>
      <w:r w:rsidRPr="00A06BFF">
        <w:rPr>
          <w:rFonts w:ascii="楷体_GB2312" w:eastAsia="楷体_GB2312" w:hAnsi="Times New Roman" w:hint="eastAsia"/>
          <w:bCs/>
          <w:color w:val="000000"/>
          <w:sz w:val="28"/>
          <w:szCs w:val="28"/>
        </w:rPr>
        <w:t>个学员创业项目中，</w:t>
      </w:r>
      <w:r w:rsidRPr="003F1C8D">
        <w:rPr>
          <w:rFonts w:ascii="楷体_GB2312" w:eastAsia="楷体_GB2312" w:hAnsi="Times New Roman"/>
          <w:bCs/>
          <w:color w:val="000000"/>
          <w:sz w:val="28"/>
          <w:szCs w:val="28"/>
        </w:rPr>
        <w:t>18</w:t>
      </w:r>
      <w:r w:rsidRPr="003F1C8D">
        <w:rPr>
          <w:rFonts w:ascii="楷体_GB2312" w:eastAsia="楷体_GB2312" w:hAnsi="Times New Roman" w:hint="eastAsia"/>
          <w:bCs/>
          <w:color w:val="000000"/>
          <w:sz w:val="28"/>
          <w:szCs w:val="28"/>
        </w:rPr>
        <w:t>个</w:t>
      </w:r>
      <w:r>
        <w:rPr>
          <w:rFonts w:ascii="楷体_GB2312" w:eastAsia="楷体_GB2312" w:hAnsi="Times New Roman" w:hint="eastAsia"/>
          <w:bCs/>
          <w:color w:val="000000"/>
          <w:sz w:val="28"/>
          <w:szCs w:val="28"/>
        </w:rPr>
        <w:t>已</w:t>
      </w:r>
      <w:r w:rsidRPr="003F1C8D">
        <w:rPr>
          <w:rFonts w:ascii="楷体_GB2312" w:eastAsia="楷体_GB2312" w:hAnsi="Times New Roman" w:hint="eastAsia"/>
          <w:bCs/>
          <w:color w:val="000000"/>
          <w:sz w:val="28"/>
          <w:szCs w:val="28"/>
        </w:rPr>
        <w:t>注册，</w:t>
      </w:r>
      <w:r w:rsidRPr="003F1C8D">
        <w:rPr>
          <w:rFonts w:ascii="楷体_GB2312" w:eastAsia="楷体_GB2312" w:hAnsi="Times New Roman"/>
          <w:bCs/>
          <w:color w:val="000000"/>
          <w:sz w:val="28"/>
          <w:szCs w:val="28"/>
        </w:rPr>
        <w:t>4</w:t>
      </w:r>
      <w:r>
        <w:rPr>
          <w:rFonts w:ascii="楷体_GB2312" w:eastAsia="楷体_GB2312" w:hAnsi="Times New Roman" w:hint="eastAsia"/>
          <w:bCs/>
          <w:color w:val="000000"/>
          <w:sz w:val="28"/>
          <w:szCs w:val="28"/>
        </w:rPr>
        <w:t>个已</w:t>
      </w:r>
      <w:r w:rsidRPr="003F1C8D">
        <w:rPr>
          <w:rFonts w:ascii="楷体_GB2312" w:eastAsia="楷体_GB2312" w:hAnsi="Times New Roman" w:hint="eastAsia"/>
          <w:bCs/>
          <w:color w:val="000000"/>
          <w:sz w:val="28"/>
          <w:szCs w:val="28"/>
        </w:rPr>
        <w:t>获得融资，</w:t>
      </w:r>
      <w:r w:rsidRPr="003F1C8D">
        <w:rPr>
          <w:rFonts w:ascii="楷体_GB2312" w:eastAsia="楷体_GB2312" w:hAnsi="Times New Roman"/>
          <w:bCs/>
          <w:color w:val="000000"/>
          <w:sz w:val="28"/>
          <w:szCs w:val="28"/>
        </w:rPr>
        <w:t>1</w:t>
      </w:r>
      <w:r w:rsidRPr="003F1C8D">
        <w:rPr>
          <w:rFonts w:ascii="楷体_GB2312" w:eastAsia="楷体_GB2312" w:hAnsi="Times New Roman" w:hint="eastAsia"/>
          <w:bCs/>
          <w:color w:val="000000"/>
          <w:sz w:val="28"/>
          <w:szCs w:val="28"/>
        </w:rPr>
        <w:t>个</w:t>
      </w:r>
      <w:r>
        <w:rPr>
          <w:rFonts w:ascii="楷体_GB2312" w:eastAsia="楷体_GB2312" w:hAnsi="Times New Roman" w:hint="eastAsia"/>
          <w:bCs/>
          <w:color w:val="000000"/>
          <w:sz w:val="28"/>
          <w:szCs w:val="28"/>
        </w:rPr>
        <w:t>正在</w:t>
      </w:r>
      <w:r w:rsidRPr="003F1C8D">
        <w:rPr>
          <w:rFonts w:ascii="楷体_GB2312" w:eastAsia="楷体_GB2312" w:hAnsi="Times New Roman" w:hint="eastAsia"/>
          <w:bCs/>
          <w:color w:val="000000"/>
          <w:sz w:val="28"/>
          <w:szCs w:val="28"/>
        </w:rPr>
        <w:t>融资洽谈中</w:t>
      </w:r>
      <w:r w:rsidRPr="00A06BFF">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以创新实践项目为依托，培养学生创新精神和实践能力，本科生在校期间至少有</w:t>
      </w:r>
      <w:r w:rsidRPr="00AF174C">
        <w:rPr>
          <w:rFonts w:ascii="楷体_GB2312" w:eastAsia="楷体_GB2312" w:hAnsi="Times New Roman"/>
          <w:bCs/>
          <w:color w:val="000000"/>
          <w:sz w:val="28"/>
          <w:szCs w:val="28"/>
        </w:rPr>
        <w:t>1</w:t>
      </w:r>
      <w:r w:rsidRPr="00AF174C">
        <w:rPr>
          <w:rFonts w:ascii="楷体_GB2312" w:eastAsia="楷体_GB2312" w:hAnsi="Times New Roman" w:hint="eastAsia"/>
          <w:bCs/>
          <w:color w:val="000000"/>
          <w:sz w:val="28"/>
          <w:szCs w:val="28"/>
        </w:rPr>
        <w:t>次参加创新创业活动的机会。上财学子</w:t>
      </w:r>
      <w:r>
        <w:rPr>
          <w:rFonts w:ascii="楷体_GB2312" w:eastAsia="楷体_GB2312" w:hAnsi="Times New Roman" w:hint="eastAsia"/>
          <w:bCs/>
          <w:color w:val="000000"/>
          <w:sz w:val="28"/>
          <w:szCs w:val="28"/>
        </w:rPr>
        <w:t>在</w:t>
      </w:r>
      <w:r w:rsidRPr="00AF174C">
        <w:rPr>
          <w:rFonts w:ascii="楷体_GB2312" w:eastAsia="楷体_GB2312" w:hAnsi="Times New Roman" w:hint="eastAsia"/>
          <w:bCs/>
          <w:color w:val="000000"/>
          <w:sz w:val="28"/>
          <w:szCs w:val="28"/>
        </w:rPr>
        <w:t>挑战杯、全国大学生数学建模大赛、花旗杯金融创新应用大赛等</w:t>
      </w:r>
      <w:r>
        <w:rPr>
          <w:rFonts w:ascii="楷体_GB2312" w:eastAsia="楷体_GB2312" w:hAnsi="Times New Roman" w:hint="eastAsia"/>
          <w:bCs/>
          <w:color w:val="000000"/>
          <w:sz w:val="28"/>
          <w:szCs w:val="28"/>
        </w:rPr>
        <w:t>科技竞赛中屡创佳绩</w:t>
      </w:r>
      <w:r w:rsidRPr="00AF174C">
        <w:rPr>
          <w:rFonts w:ascii="楷体_GB2312" w:eastAsia="楷体_GB2312" w:hAnsi="Times New Roman" w:hint="eastAsia"/>
          <w:bCs/>
          <w:color w:val="000000"/>
          <w:sz w:val="28"/>
          <w:szCs w:val="28"/>
        </w:rPr>
        <w:t>，</w:t>
      </w:r>
      <w:r w:rsidRPr="00AF174C">
        <w:rPr>
          <w:rFonts w:ascii="楷体_GB2312" w:eastAsia="楷体_GB2312" w:hAnsi="Times New Roman"/>
          <w:bCs/>
          <w:color w:val="000000"/>
          <w:sz w:val="28"/>
          <w:szCs w:val="28"/>
        </w:rPr>
        <w:t>2013</w:t>
      </w:r>
      <w:r w:rsidRPr="00AF174C">
        <w:rPr>
          <w:rFonts w:ascii="楷体_GB2312" w:eastAsia="楷体_GB2312" w:hAnsi="Times New Roman" w:hint="eastAsia"/>
          <w:bCs/>
          <w:color w:val="000000"/>
          <w:sz w:val="28"/>
          <w:szCs w:val="28"/>
        </w:rPr>
        <w:t>年上财创业团队代表中国参加创行世界杯，跻身全球八强。</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招生就业保持良好态势，人才培养质量获得社会认可。</w:t>
      </w:r>
      <w:r w:rsidRPr="00AF174C">
        <w:rPr>
          <w:rFonts w:ascii="楷体_GB2312" w:eastAsia="楷体_GB2312" w:hAnsi="Times New Roman" w:hint="eastAsia"/>
          <w:bCs/>
          <w:color w:val="000000"/>
          <w:sz w:val="28"/>
          <w:szCs w:val="28"/>
        </w:rPr>
        <w:t>新生生源质量持续优异，高考招生综合竞争力保持全国前十，在沪高考录取分数线保持“文三理四”。毕业生就业率和就业质量连续多年在全国高校保持领先，历年毕业生就业率保持在</w:t>
      </w:r>
      <w:r w:rsidRPr="00AF174C">
        <w:rPr>
          <w:rFonts w:ascii="楷体_GB2312" w:eastAsia="楷体_GB2312" w:hAnsi="Times New Roman"/>
          <w:bCs/>
          <w:color w:val="000000"/>
          <w:sz w:val="28"/>
          <w:szCs w:val="28"/>
        </w:rPr>
        <w:t>95%</w:t>
      </w:r>
      <w:r w:rsidRPr="00AF174C">
        <w:rPr>
          <w:rFonts w:ascii="楷体_GB2312" w:eastAsia="楷体_GB2312" w:hAnsi="Times New Roman" w:hint="eastAsia"/>
          <w:bCs/>
          <w:color w:val="000000"/>
          <w:sz w:val="28"/>
          <w:szCs w:val="28"/>
        </w:rPr>
        <w:t>以上，每年均有近百名毕业生通过各种项目和就业途径到西部和基层就业。在盖洛普</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麦可思近年来发布的“中国大学就业能力排行榜”中一直居于全国前列水平；根据考试与教育服务供应商“</w:t>
      </w:r>
      <w:r w:rsidRPr="00AF174C">
        <w:rPr>
          <w:rFonts w:ascii="楷体_GB2312" w:eastAsia="楷体_GB2312" w:hAnsi="Times New Roman"/>
          <w:bCs/>
          <w:color w:val="000000"/>
          <w:sz w:val="28"/>
          <w:szCs w:val="28"/>
        </w:rPr>
        <w:t>ATA</w:t>
      </w:r>
      <w:r w:rsidRPr="00AF174C">
        <w:rPr>
          <w:rFonts w:ascii="楷体_GB2312" w:eastAsia="楷体_GB2312" w:hAnsi="Times New Roman" w:hint="eastAsia"/>
          <w:bCs/>
          <w:color w:val="000000"/>
          <w:sz w:val="28"/>
          <w:szCs w:val="28"/>
        </w:rPr>
        <w:t>数据”对高校毕业生综合测评结果，我校毕业生通用就业能力位列全国第</w:t>
      </w:r>
      <w:r w:rsidRPr="00AF174C">
        <w:rPr>
          <w:rFonts w:ascii="楷体_GB2312" w:eastAsia="楷体_GB2312" w:hAnsi="Times New Roman"/>
          <w:bCs/>
          <w:color w:val="000000"/>
          <w:sz w:val="28"/>
          <w:szCs w:val="28"/>
        </w:rPr>
        <w:t>3</w:t>
      </w:r>
      <w:r w:rsidRPr="00AF174C">
        <w:rPr>
          <w:rFonts w:ascii="楷体_GB2312" w:eastAsia="楷体_GB2312" w:hAnsi="Times New Roman" w:hint="eastAsia"/>
          <w:bCs/>
          <w:color w:val="000000"/>
          <w:sz w:val="28"/>
          <w:szCs w:val="28"/>
        </w:rPr>
        <w:t>名。</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（二）特色立校，学科综合实力不断增强</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大力推进“高原高峰”学科战略，制定实施《学科发展规划（</w:t>
      </w:r>
      <w:r w:rsidRPr="00AF174C">
        <w:rPr>
          <w:rFonts w:ascii="楷体_GB2312" w:eastAsia="楷体_GB2312" w:hAnsi="Times New Roman"/>
          <w:bCs/>
          <w:color w:val="000000"/>
          <w:sz w:val="28"/>
          <w:szCs w:val="28"/>
        </w:rPr>
        <w:t>2014-2020</w:t>
      </w:r>
      <w:r w:rsidRPr="00AF174C">
        <w:rPr>
          <w:rFonts w:ascii="楷体_GB2312" w:eastAsia="楷体_GB2312" w:hAnsi="Times New Roman" w:hint="eastAsia"/>
          <w:bCs/>
          <w:color w:val="000000"/>
          <w:sz w:val="28"/>
          <w:szCs w:val="28"/>
        </w:rPr>
        <w:t>年）》，进一步明确学科定位，优化学科布局，不断提升学科核心竞争力。</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学科体系进一步完备，学科水平不断攀升。</w:t>
      </w:r>
      <w:r w:rsidRPr="00AF174C">
        <w:rPr>
          <w:rFonts w:ascii="楷体_GB2312" w:eastAsia="楷体_GB2312" w:hAnsi="Times New Roman" w:hint="eastAsia"/>
          <w:bCs/>
          <w:color w:val="000000"/>
          <w:sz w:val="28"/>
          <w:szCs w:val="28"/>
        </w:rPr>
        <w:t>在教育部学位与研究生教育发展中心第三轮评估中，</w:t>
      </w:r>
      <w:r w:rsidRPr="00AF174C">
        <w:rPr>
          <w:rFonts w:ascii="楷体_GB2312" w:eastAsia="楷体_GB2312" w:hAnsi="Times New Roman"/>
          <w:bCs/>
          <w:color w:val="000000"/>
          <w:sz w:val="28"/>
          <w:szCs w:val="28"/>
        </w:rPr>
        <w:t>4</w:t>
      </w:r>
      <w:r w:rsidRPr="00AF174C">
        <w:rPr>
          <w:rFonts w:ascii="楷体_GB2312" w:eastAsia="楷体_GB2312" w:hAnsi="Times New Roman" w:hint="eastAsia"/>
          <w:bCs/>
          <w:color w:val="000000"/>
          <w:sz w:val="28"/>
          <w:szCs w:val="28"/>
        </w:rPr>
        <w:t>个学科进入全国前十（统计学第</w:t>
      </w:r>
      <w:r w:rsidRPr="00AF174C">
        <w:rPr>
          <w:rFonts w:ascii="楷体_GB2312" w:eastAsia="楷体_GB2312" w:hAnsi="Times New Roman"/>
          <w:bCs/>
          <w:color w:val="000000"/>
          <w:sz w:val="28"/>
          <w:szCs w:val="28"/>
        </w:rPr>
        <w:t>4</w:t>
      </w:r>
      <w:r w:rsidRPr="00AF174C">
        <w:rPr>
          <w:rFonts w:ascii="楷体_GB2312" w:eastAsia="楷体_GB2312" w:hAnsi="Times New Roman" w:hint="eastAsia"/>
          <w:bCs/>
          <w:color w:val="000000"/>
          <w:sz w:val="28"/>
          <w:szCs w:val="28"/>
        </w:rPr>
        <w:t>、应用经济学第</w:t>
      </w:r>
      <w:r w:rsidRPr="00AF174C">
        <w:rPr>
          <w:rFonts w:ascii="楷体_GB2312" w:eastAsia="楷体_GB2312" w:hAnsi="Times New Roman"/>
          <w:bCs/>
          <w:color w:val="000000"/>
          <w:sz w:val="28"/>
          <w:szCs w:val="28"/>
        </w:rPr>
        <w:t>6</w:t>
      </w:r>
      <w:r w:rsidRPr="00AF174C">
        <w:rPr>
          <w:rFonts w:ascii="楷体_GB2312" w:eastAsia="楷体_GB2312" w:hAnsi="Times New Roman" w:hint="eastAsia"/>
          <w:bCs/>
          <w:color w:val="000000"/>
          <w:sz w:val="28"/>
          <w:szCs w:val="28"/>
        </w:rPr>
        <w:t>、工商管理第</w:t>
      </w:r>
      <w:r w:rsidRPr="00AF174C">
        <w:rPr>
          <w:rFonts w:ascii="楷体_GB2312" w:eastAsia="楷体_GB2312" w:hAnsi="Times New Roman"/>
          <w:bCs/>
          <w:color w:val="000000"/>
          <w:sz w:val="28"/>
          <w:szCs w:val="28"/>
        </w:rPr>
        <w:t>8</w:t>
      </w:r>
      <w:r w:rsidRPr="00AF174C">
        <w:rPr>
          <w:rFonts w:ascii="楷体_GB2312" w:eastAsia="楷体_GB2312" w:hAnsi="Times New Roman" w:hint="eastAsia"/>
          <w:bCs/>
          <w:color w:val="000000"/>
          <w:sz w:val="28"/>
          <w:szCs w:val="28"/>
        </w:rPr>
        <w:t>、理论经济学第</w:t>
      </w:r>
      <w:r w:rsidRPr="00AF174C">
        <w:rPr>
          <w:rFonts w:ascii="楷体_GB2312" w:eastAsia="楷体_GB2312" w:hAnsi="Times New Roman"/>
          <w:bCs/>
          <w:color w:val="000000"/>
          <w:sz w:val="28"/>
          <w:szCs w:val="28"/>
        </w:rPr>
        <w:t>10</w:t>
      </w:r>
      <w:r w:rsidRPr="00AF174C">
        <w:rPr>
          <w:rFonts w:ascii="楷体_GB2312" w:eastAsia="楷体_GB2312" w:hAnsi="Times New Roman" w:hint="eastAsia"/>
          <w:bCs/>
          <w:color w:val="000000"/>
          <w:sz w:val="28"/>
          <w:szCs w:val="28"/>
        </w:rPr>
        <w:t>），是国内唯一一所所有主干学科排名进入前十的财经类高校。</w:t>
      </w:r>
      <w:r>
        <w:rPr>
          <w:rFonts w:ascii="楷体_GB2312" w:eastAsia="楷体_GB2312" w:hAnsi="Times New Roman" w:hint="eastAsia"/>
          <w:bCs/>
          <w:color w:val="000000"/>
          <w:sz w:val="28"/>
          <w:szCs w:val="28"/>
        </w:rPr>
        <w:t>加大基础学科培育力度，组建外国语学院、</w:t>
      </w:r>
      <w:r w:rsidRPr="00AF174C">
        <w:rPr>
          <w:rFonts w:ascii="楷体_GB2312" w:eastAsia="楷体_GB2312" w:hAnsi="Times New Roman" w:hint="eastAsia"/>
          <w:bCs/>
          <w:color w:val="000000"/>
          <w:sz w:val="28"/>
          <w:szCs w:val="28"/>
        </w:rPr>
        <w:t>数学学院</w:t>
      </w:r>
      <w:r>
        <w:rPr>
          <w:rFonts w:ascii="楷体_GB2312" w:eastAsia="楷体_GB2312" w:hAnsi="Times New Roman" w:hint="eastAsia"/>
          <w:bCs/>
          <w:color w:val="000000"/>
          <w:sz w:val="28"/>
          <w:szCs w:val="28"/>
        </w:rPr>
        <w:t>和</w:t>
      </w:r>
      <w:r w:rsidRPr="00AF174C">
        <w:rPr>
          <w:rFonts w:ascii="楷体_GB2312" w:eastAsia="楷体_GB2312" w:hAnsi="Times New Roman" w:hint="eastAsia"/>
          <w:bCs/>
          <w:color w:val="000000"/>
          <w:sz w:val="28"/>
          <w:szCs w:val="28"/>
        </w:rPr>
        <w:t>马克思主义学院，启动政治学、计算机科学与技术以及社会学的新一轮建设。“十二五”期间，新增</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个一级学科博士点（统计学、马克思主义理论）、</w:t>
      </w:r>
      <w:r w:rsidRPr="00AF174C">
        <w:rPr>
          <w:rFonts w:ascii="楷体_GB2312" w:eastAsia="楷体_GB2312" w:hAnsi="Times New Roman"/>
          <w:bCs/>
          <w:color w:val="000000"/>
          <w:sz w:val="28"/>
          <w:szCs w:val="28"/>
        </w:rPr>
        <w:t>6</w:t>
      </w:r>
      <w:r w:rsidRPr="00AF174C">
        <w:rPr>
          <w:rFonts w:ascii="楷体_GB2312" w:eastAsia="楷体_GB2312" w:hAnsi="Times New Roman" w:hint="eastAsia"/>
          <w:bCs/>
          <w:color w:val="000000"/>
          <w:sz w:val="28"/>
          <w:szCs w:val="28"/>
        </w:rPr>
        <w:t>个上海市一流学科（以世界一流为目标的</w:t>
      </w:r>
      <w:r w:rsidRPr="00AF174C">
        <w:rPr>
          <w:rFonts w:ascii="楷体_GB2312" w:eastAsia="楷体_GB2312" w:hAnsi="Times New Roman"/>
          <w:bCs/>
          <w:color w:val="000000"/>
          <w:sz w:val="28"/>
          <w:szCs w:val="28"/>
        </w:rPr>
        <w:t>A</w:t>
      </w:r>
      <w:r w:rsidRPr="00AF174C">
        <w:rPr>
          <w:rFonts w:ascii="楷体_GB2312" w:eastAsia="楷体_GB2312" w:hAnsi="Times New Roman" w:hint="eastAsia"/>
          <w:bCs/>
          <w:color w:val="000000"/>
          <w:sz w:val="28"/>
          <w:szCs w:val="28"/>
        </w:rPr>
        <w:t>类</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个，以国内一流为目标的</w:t>
      </w:r>
      <w:r w:rsidRPr="00AF174C">
        <w:rPr>
          <w:rFonts w:ascii="楷体_GB2312" w:eastAsia="楷体_GB2312" w:hAnsi="Times New Roman"/>
          <w:bCs/>
          <w:color w:val="000000"/>
          <w:sz w:val="28"/>
          <w:szCs w:val="28"/>
        </w:rPr>
        <w:t>B</w:t>
      </w:r>
      <w:r w:rsidRPr="00AF174C">
        <w:rPr>
          <w:rFonts w:ascii="楷体_GB2312" w:eastAsia="楷体_GB2312" w:hAnsi="Times New Roman" w:hint="eastAsia"/>
          <w:bCs/>
          <w:color w:val="000000"/>
          <w:sz w:val="28"/>
          <w:szCs w:val="28"/>
        </w:rPr>
        <w:t>类</w:t>
      </w:r>
      <w:r w:rsidRPr="00AF174C">
        <w:rPr>
          <w:rFonts w:ascii="楷体_GB2312" w:eastAsia="楷体_GB2312" w:hAnsi="Times New Roman"/>
          <w:bCs/>
          <w:color w:val="000000"/>
          <w:sz w:val="28"/>
          <w:szCs w:val="28"/>
        </w:rPr>
        <w:t>4</w:t>
      </w:r>
      <w:r w:rsidRPr="00AF174C">
        <w:rPr>
          <w:rFonts w:ascii="楷体_GB2312" w:eastAsia="楷体_GB2312" w:hAnsi="Times New Roman" w:hint="eastAsia"/>
          <w:bCs/>
          <w:color w:val="000000"/>
          <w:sz w:val="28"/>
          <w:szCs w:val="28"/>
        </w:rPr>
        <w:t>个），理论经济学入选上海市Ⅱ类高峰学科；重点实验室建设取得突破，新增国家级金融科学虚拟仿真实验中心以及数理经济学教育部重点实验室，经济与管理实验教学中心被评为“十二五”国家级实验教学示范中心；新增</w:t>
      </w:r>
      <w:r w:rsidRPr="00AF174C">
        <w:rPr>
          <w:rFonts w:ascii="楷体_GB2312" w:eastAsia="楷体_GB2312" w:hAnsi="Times New Roman"/>
          <w:bCs/>
          <w:color w:val="000000"/>
          <w:sz w:val="28"/>
          <w:szCs w:val="28"/>
        </w:rPr>
        <w:t>3</w:t>
      </w:r>
      <w:r w:rsidRPr="00AF174C">
        <w:rPr>
          <w:rFonts w:ascii="楷体_GB2312" w:eastAsia="楷体_GB2312" w:hAnsi="Times New Roman" w:hint="eastAsia"/>
          <w:bCs/>
          <w:color w:val="000000"/>
          <w:sz w:val="28"/>
          <w:szCs w:val="28"/>
        </w:rPr>
        <w:t>个国家级基地（国家级法学教育实践基地、卓越法律人才教育培养基地和高等学校继续教育示范基地）。</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对标国际，优势学科的国际学术影响力明显提升。</w:t>
      </w:r>
      <w:r w:rsidRPr="00AF174C">
        <w:rPr>
          <w:rFonts w:ascii="楷体_GB2312" w:eastAsia="楷体_GB2312" w:hAnsi="Times New Roman" w:hint="eastAsia"/>
          <w:bCs/>
          <w:color w:val="000000"/>
          <w:sz w:val="28"/>
          <w:szCs w:val="28"/>
        </w:rPr>
        <w:t>学校在国际学术界认可的多个排行榜上，实现了从榜上无名到位列国内高校前茅的</w:t>
      </w:r>
      <w:r>
        <w:rPr>
          <w:rFonts w:ascii="楷体_GB2312" w:eastAsia="楷体_GB2312" w:hAnsi="Times New Roman" w:hint="eastAsia"/>
          <w:bCs/>
          <w:color w:val="000000"/>
          <w:sz w:val="28"/>
          <w:szCs w:val="28"/>
        </w:rPr>
        <w:t>跨</w:t>
      </w:r>
      <w:r w:rsidRPr="00AF174C">
        <w:rPr>
          <w:rFonts w:ascii="楷体_GB2312" w:eastAsia="楷体_GB2312" w:hAnsi="Times New Roman" w:hint="eastAsia"/>
          <w:bCs/>
          <w:color w:val="000000"/>
          <w:sz w:val="28"/>
          <w:szCs w:val="28"/>
        </w:rPr>
        <w:t>跃。在</w:t>
      </w:r>
      <w:r w:rsidRPr="00AF174C">
        <w:rPr>
          <w:rFonts w:ascii="楷体_GB2312" w:eastAsia="楷体_GB2312" w:hAnsi="Times New Roman"/>
          <w:bCs/>
          <w:color w:val="000000"/>
          <w:sz w:val="28"/>
          <w:szCs w:val="28"/>
        </w:rPr>
        <w:t>ARWU</w:t>
      </w:r>
      <w:r w:rsidRPr="00AF174C">
        <w:rPr>
          <w:rFonts w:ascii="楷体_GB2312" w:eastAsia="楷体_GB2312" w:hAnsi="Times New Roman" w:hint="eastAsia"/>
          <w:bCs/>
          <w:color w:val="000000"/>
          <w:sz w:val="28"/>
          <w:szCs w:val="28"/>
        </w:rPr>
        <w:t>世界大学学术排名（</w:t>
      </w:r>
      <w:r w:rsidRPr="00AF174C">
        <w:rPr>
          <w:rFonts w:ascii="楷体_GB2312" w:eastAsia="楷体_GB2312" w:hAnsi="Times New Roman"/>
          <w:bCs/>
          <w:color w:val="000000"/>
          <w:sz w:val="28"/>
          <w:szCs w:val="28"/>
        </w:rPr>
        <w:t>2015</w:t>
      </w:r>
      <w:r w:rsidRPr="00AF174C">
        <w:rPr>
          <w:rFonts w:ascii="楷体_GB2312" w:eastAsia="楷体_GB2312" w:hAnsi="Times New Roman" w:hint="eastAsia"/>
          <w:bCs/>
          <w:color w:val="000000"/>
          <w:sz w:val="28"/>
          <w:szCs w:val="28"/>
        </w:rPr>
        <w:t>）中，我校经济学</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商学学科位列大陆第</w:t>
      </w:r>
      <w:r w:rsidRPr="00AF174C">
        <w:rPr>
          <w:rFonts w:ascii="楷体_GB2312" w:eastAsia="楷体_GB2312" w:hAnsi="Times New Roman"/>
          <w:bCs/>
          <w:color w:val="000000"/>
          <w:sz w:val="28"/>
          <w:szCs w:val="28"/>
        </w:rPr>
        <w:t>4</w:t>
      </w:r>
      <w:r w:rsidRPr="00AF174C">
        <w:rPr>
          <w:rFonts w:ascii="楷体_GB2312" w:eastAsia="楷体_GB2312" w:hAnsi="Times New Roman" w:hint="eastAsia"/>
          <w:bCs/>
          <w:color w:val="000000"/>
          <w:sz w:val="28"/>
          <w:szCs w:val="28"/>
        </w:rPr>
        <w:t>、全球前</w:t>
      </w:r>
      <w:r w:rsidRPr="00AF174C">
        <w:rPr>
          <w:rFonts w:ascii="楷体_GB2312" w:eastAsia="楷体_GB2312" w:hAnsi="Times New Roman"/>
          <w:bCs/>
          <w:color w:val="000000"/>
          <w:sz w:val="28"/>
          <w:szCs w:val="28"/>
        </w:rPr>
        <w:t>200</w:t>
      </w:r>
      <w:r w:rsidRPr="00AF174C">
        <w:rPr>
          <w:rFonts w:ascii="楷体_GB2312" w:eastAsia="楷体_GB2312" w:hAnsi="Times New Roman" w:hint="eastAsia"/>
          <w:bCs/>
          <w:color w:val="000000"/>
          <w:sz w:val="28"/>
          <w:szCs w:val="28"/>
        </w:rPr>
        <w:t>强；在</w:t>
      </w:r>
      <w:r w:rsidRPr="00AF174C">
        <w:rPr>
          <w:rFonts w:ascii="楷体_GB2312" w:eastAsia="楷体_GB2312" w:hAnsi="Times New Roman"/>
          <w:bCs/>
          <w:color w:val="000000"/>
          <w:sz w:val="28"/>
          <w:szCs w:val="28"/>
        </w:rPr>
        <w:t>QS</w:t>
      </w:r>
      <w:r w:rsidRPr="00AF174C">
        <w:rPr>
          <w:rFonts w:ascii="楷体_GB2312" w:eastAsia="楷体_GB2312" w:hAnsi="Times New Roman" w:hint="eastAsia"/>
          <w:bCs/>
          <w:color w:val="000000"/>
          <w:sz w:val="28"/>
          <w:szCs w:val="28"/>
        </w:rPr>
        <w:t>世界大学学科排名（</w:t>
      </w:r>
      <w:r w:rsidRPr="00AF174C">
        <w:rPr>
          <w:rFonts w:ascii="楷体_GB2312" w:eastAsia="楷体_GB2312" w:hAnsi="Times New Roman"/>
          <w:bCs/>
          <w:color w:val="000000"/>
          <w:sz w:val="28"/>
          <w:szCs w:val="28"/>
        </w:rPr>
        <w:t>2015</w:t>
      </w:r>
      <w:r w:rsidRPr="00AF174C">
        <w:rPr>
          <w:rFonts w:ascii="楷体_GB2312" w:eastAsia="楷体_GB2312" w:hAnsi="Times New Roman" w:hint="eastAsia"/>
          <w:bCs/>
          <w:color w:val="000000"/>
          <w:sz w:val="28"/>
          <w:szCs w:val="28"/>
        </w:rPr>
        <w:t>）中，我校会计与金融学科位列大陆第</w:t>
      </w:r>
      <w:r w:rsidRPr="00AF174C">
        <w:rPr>
          <w:rFonts w:ascii="楷体_GB2312" w:eastAsia="楷体_GB2312" w:hAnsi="Times New Roman"/>
          <w:bCs/>
          <w:color w:val="000000"/>
          <w:sz w:val="28"/>
          <w:szCs w:val="28"/>
        </w:rPr>
        <w:t>5</w:t>
      </w:r>
      <w:r w:rsidRPr="00AF174C">
        <w:rPr>
          <w:rFonts w:ascii="楷体_GB2312" w:eastAsia="楷体_GB2312" w:hAnsi="Times New Roman" w:hint="eastAsia"/>
          <w:bCs/>
          <w:color w:val="000000"/>
          <w:sz w:val="28"/>
          <w:szCs w:val="28"/>
        </w:rPr>
        <w:t>、全球前</w:t>
      </w:r>
      <w:r w:rsidRPr="00AF174C">
        <w:rPr>
          <w:rFonts w:ascii="楷体_GB2312" w:eastAsia="楷体_GB2312" w:hAnsi="Times New Roman"/>
          <w:bCs/>
          <w:color w:val="000000"/>
          <w:sz w:val="28"/>
          <w:szCs w:val="28"/>
        </w:rPr>
        <w:t>200</w:t>
      </w:r>
      <w:r w:rsidRPr="00AF174C">
        <w:rPr>
          <w:rFonts w:ascii="楷体_GB2312" w:eastAsia="楷体_GB2312" w:hAnsi="Times New Roman" w:hint="eastAsia"/>
          <w:bCs/>
          <w:color w:val="000000"/>
          <w:sz w:val="28"/>
          <w:szCs w:val="28"/>
        </w:rPr>
        <w:t>；在荷兰蒂尔堡大学世界经济学顶尖期刊发文排名（</w:t>
      </w:r>
      <w:r w:rsidRPr="00AF174C">
        <w:rPr>
          <w:rFonts w:ascii="楷体_GB2312" w:eastAsia="楷体_GB2312" w:hAnsi="Times New Roman"/>
          <w:bCs/>
          <w:color w:val="000000"/>
          <w:sz w:val="28"/>
          <w:szCs w:val="28"/>
        </w:rPr>
        <w:t>2013</w:t>
      </w:r>
      <w:r w:rsidRPr="00AF174C">
        <w:rPr>
          <w:rFonts w:ascii="楷体_GB2312" w:eastAsia="楷体_GB2312" w:hAnsi="Times New Roman" w:hint="eastAsia"/>
          <w:bCs/>
          <w:color w:val="000000"/>
          <w:sz w:val="28"/>
          <w:szCs w:val="28"/>
        </w:rPr>
        <w:t>）中位列中国（含港澳台）第</w:t>
      </w:r>
      <w:r w:rsidRPr="00AF174C">
        <w:rPr>
          <w:rFonts w:ascii="楷体_GB2312" w:eastAsia="楷体_GB2312" w:hAnsi="Times New Roman"/>
          <w:bCs/>
          <w:color w:val="000000"/>
          <w:sz w:val="28"/>
          <w:szCs w:val="28"/>
        </w:rPr>
        <w:t>1</w:t>
      </w:r>
      <w:r w:rsidRPr="00AF174C">
        <w:rPr>
          <w:rFonts w:ascii="楷体_GB2312" w:eastAsia="楷体_GB2312" w:hAnsi="Times New Roman" w:hint="eastAsia"/>
          <w:bCs/>
          <w:color w:val="000000"/>
          <w:sz w:val="28"/>
          <w:szCs w:val="28"/>
        </w:rPr>
        <w:t>、全球第</w:t>
      </w:r>
      <w:r w:rsidRPr="00AF174C">
        <w:rPr>
          <w:rFonts w:ascii="楷体_GB2312" w:eastAsia="楷体_GB2312" w:hAnsi="Times New Roman"/>
          <w:bCs/>
          <w:color w:val="000000"/>
          <w:sz w:val="28"/>
          <w:szCs w:val="28"/>
        </w:rPr>
        <w:t>61</w:t>
      </w:r>
      <w:r w:rsidRPr="00AF174C">
        <w:rPr>
          <w:rFonts w:ascii="楷体_GB2312" w:eastAsia="楷体_GB2312" w:hAnsi="Times New Roman" w:hint="eastAsia"/>
          <w:bCs/>
          <w:color w:val="000000"/>
          <w:sz w:val="28"/>
          <w:szCs w:val="28"/>
        </w:rPr>
        <w:t>；在美国德克萨斯大学达拉斯分校世界顶尖商学期刊发文排名（</w:t>
      </w:r>
      <w:r w:rsidRPr="00AF174C">
        <w:rPr>
          <w:rFonts w:ascii="楷体_GB2312" w:eastAsia="楷体_GB2312" w:hAnsi="Times New Roman"/>
          <w:bCs/>
          <w:color w:val="000000"/>
          <w:sz w:val="28"/>
          <w:szCs w:val="28"/>
        </w:rPr>
        <w:t>2015</w:t>
      </w:r>
      <w:r w:rsidRPr="00AF174C">
        <w:rPr>
          <w:rFonts w:ascii="楷体_GB2312" w:eastAsia="楷体_GB2312" w:hAnsi="Times New Roman" w:hint="eastAsia"/>
          <w:bCs/>
          <w:color w:val="000000"/>
          <w:sz w:val="28"/>
          <w:szCs w:val="28"/>
        </w:rPr>
        <w:t>）中位列大陆第</w:t>
      </w:r>
      <w:r w:rsidRPr="00AF174C">
        <w:rPr>
          <w:rFonts w:ascii="楷体_GB2312" w:eastAsia="楷体_GB2312" w:hAnsi="Times New Roman"/>
          <w:bCs/>
          <w:color w:val="000000"/>
          <w:sz w:val="28"/>
          <w:szCs w:val="28"/>
        </w:rPr>
        <w:t>3</w:t>
      </w:r>
      <w:r w:rsidRPr="00AF174C">
        <w:rPr>
          <w:rFonts w:ascii="楷体_GB2312" w:eastAsia="楷体_GB2312" w:hAnsi="Times New Roman" w:hint="eastAsia"/>
          <w:bCs/>
          <w:color w:val="000000"/>
          <w:sz w:val="28"/>
          <w:szCs w:val="28"/>
        </w:rPr>
        <w:t>、全球第</w:t>
      </w:r>
      <w:r w:rsidRPr="00AF174C">
        <w:rPr>
          <w:rFonts w:ascii="楷体_GB2312" w:eastAsia="楷体_GB2312" w:hAnsi="Times New Roman"/>
          <w:bCs/>
          <w:color w:val="000000"/>
          <w:sz w:val="28"/>
          <w:szCs w:val="28"/>
        </w:rPr>
        <w:t>88</w:t>
      </w:r>
      <w:r w:rsidRPr="00AF174C">
        <w:rPr>
          <w:rFonts w:ascii="楷体_GB2312" w:eastAsia="楷体_GB2312" w:hAnsi="Times New Roman" w:hint="eastAsia"/>
          <w:bCs/>
          <w:color w:val="000000"/>
          <w:sz w:val="28"/>
          <w:szCs w:val="28"/>
        </w:rPr>
        <w:t>；在美国亚里桑那州立大学世界金融学顶尖期刊排名（</w:t>
      </w:r>
      <w:r w:rsidRPr="00AF174C">
        <w:rPr>
          <w:rFonts w:ascii="楷体_GB2312" w:eastAsia="楷体_GB2312" w:hAnsi="Times New Roman"/>
          <w:bCs/>
          <w:color w:val="000000"/>
          <w:sz w:val="28"/>
          <w:szCs w:val="28"/>
        </w:rPr>
        <w:t>2010-2014</w:t>
      </w:r>
      <w:r w:rsidRPr="00AF174C">
        <w:rPr>
          <w:rFonts w:ascii="楷体_GB2312" w:eastAsia="楷体_GB2312" w:hAnsi="Times New Roman" w:hint="eastAsia"/>
          <w:bCs/>
          <w:color w:val="000000"/>
          <w:sz w:val="28"/>
          <w:szCs w:val="28"/>
        </w:rPr>
        <w:t>）中位列大陆第</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、全球第</w:t>
      </w:r>
      <w:r w:rsidRPr="00AF174C">
        <w:rPr>
          <w:rFonts w:ascii="楷体_GB2312" w:eastAsia="楷体_GB2312" w:hAnsi="Times New Roman"/>
          <w:bCs/>
          <w:color w:val="000000"/>
          <w:sz w:val="28"/>
          <w:szCs w:val="28"/>
        </w:rPr>
        <w:t>101</w:t>
      </w:r>
      <w:r w:rsidRPr="00AF174C">
        <w:rPr>
          <w:rFonts w:ascii="楷体_GB2312" w:eastAsia="楷体_GB2312" w:hAnsi="Times New Roman" w:hint="eastAsia"/>
          <w:bCs/>
          <w:color w:val="000000"/>
          <w:sz w:val="28"/>
          <w:szCs w:val="28"/>
        </w:rPr>
        <w:t>。</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（三）顶天立地，实现科研创新与社会服务双提升</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秉持“顶天立地”建设理念，聚焦国际学术前沿和国家重大战略需求，引导鼓励“中国问题</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国际范式”的国际化高水平研究，不断提高学术创新能力和社会服务水平。</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鼓励接轨国际水准的精品力作，高水平科研成果丰硕。</w:t>
      </w:r>
      <w:r w:rsidRPr="00AF174C">
        <w:rPr>
          <w:rFonts w:ascii="楷体_GB2312" w:eastAsia="楷体_GB2312" w:hAnsi="Times New Roman" w:hint="eastAsia"/>
          <w:bCs/>
          <w:color w:val="000000"/>
          <w:sz w:val="28"/>
          <w:szCs w:val="28"/>
        </w:rPr>
        <w:t>“十二五”期间，累计承接国家级课题</w:t>
      </w:r>
      <w:r w:rsidRPr="00AF174C">
        <w:rPr>
          <w:rFonts w:ascii="楷体_GB2312" w:eastAsia="楷体_GB2312" w:hAnsi="Times New Roman"/>
          <w:bCs/>
          <w:color w:val="000000"/>
          <w:sz w:val="28"/>
          <w:szCs w:val="28"/>
        </w:rPr>
        <w:t>289</w:t>
      </w:r>
      <w:r w:rsidRPr="00AF174C">
        <w:rPr>
          <w:rFonts w:ascii="楷体_GB2312" w:eastAsia="楷体_GB2312" w:hAnsi="Times New Roman" w:hint="eastAsia"/>
          <w:bCs/>
          <w:color w:val="000000"/>
          <w:sz w:val="28"/>
          <w:szCs w:val="28"/>
        </w:rPr>
        <w:t>项，较“十一五”增长一倍，其中国家级课题重大、重点项目增长</w:t>
      </w:r>
      <w:r w:rsidRPr="00AF174C">
        <w:rPr>
          <w:rFonts w:ascii="楷体_GB2312" w:eastAsia="楷体_GB2312" w:hAnsi="Times New Roman"/>
          <w:bCs/>
          <w:color w:val="000000"/>
          <w:sz w:val="28"/>
          <w:szCs w:val="28"/>
        </w:rPr>
        <w:t>108%</w:t>
      </w:r>
      <w:r w:rsidRPr="00AF174C">
        <w:rPr>
          <w:rFonts w:ascii="楷体_GB2312" w:eastAsia="楷体_GB2312" w:hAnsi="Times New Roman" w:hint="eastAsia"/>
          <w:bCs/>
          <w:color w:val="000000"/>
          <w:sz w:val="28"/>
          <w:szCs w:val="28"/>
        </w:rPr>
        <w:t>。省部级科研获奖</w:t>
      </w:r>
      <w:r w:rsidRPr="00AF174C">
        <w:rPr>
          <w:rFonts w:ascii="楷体_GB2312" w:eastAsia="楷体_GB2312" w:hAnsi="Times New Roman"/>
          <w:bCs/>
          <w:color w:val="000000"/>
          <w:sz w:val="28"/>
          <w:szCs w:val="28"/>
        </w:rPr>
        <w:t>100</w:t>
      </w:r>
      <w:r w:rsidRPr="00AF174C">
        <w:rPr>
          <w:rFonts w:ascii="楷体_GB2312" w:eastAsia="楷体_GB2312" w:hAnsi="Times New Roman" w:hint="eastAsia"/>
          <w:bCs/>
          <w:color w:val="000000"/>
          <w:sz w:val="28"/>
          <w:szCs w:val="28"/>
        </w:rPr>
        <w:t>项。</w:t>
      </w:r>
      <w:r>
        <w:rPr>
          <w:rFonts w:ascii="楷体_GB2312" w:eastAsia="楷体_GB2312" w:hAnsi="Times New Roman" w:hint="eastAsia"/>
          <w:bCs/>
          <w:color w:val="000000"/>
          <w:sz w:val="28"/>
          <w:szCs w:val="28"/>
        </w:rPr>
        <w:t>在《中国社会科学》、《经济研究》等</w:t>
      </w:r>
      <w:r w:rsidRPr="00AF174C">
        <w:rPr>
          <w:rFonts w:ascii="楷体_GB2312" w:eastAsia="楷体_GB2312" w:hAnsi="Times New Roman" w:hint="eastAsia"/>
          <w:bCs/>
          <w:color w:val="000000"/>
          <w:sz w:val="28"/>
          <w:szCs w:val="28"/>
        </w:rPr>
        <w:t>国内权威期刊（一级</w:t>
      </w:r>
      <w:r w:rsidRPr="00AF174C">
        <w:rPr>
          <w:rFonts w:ascii="楷体_GB2312" w:eastAsia="楷体_GB2312" w:hAnsi="Times New Roman"/>
          <w:bCs/>
          <w:color w:val="000000"/>
          <w:sz w:val="28"/>
          <w:szCs w:val="28"/>
        </w:rPr>
        <w:t>A</w:t>
      </w:r>
      <w:r w:rsidRPr="00AF174C">
        <w:rPr>
          <w:rFonts w:ascii="楷体_GB2312" w:eastAsia="楷体_GB2312" w:hAnsi="Times New Roman" w:hint="eastAsia"/>
          <w:bCs/>
          <w:color w:val="000000"/>
          <w:sz w:val="28"/>
          <w:szCs w:val="28"/>
        </w:rPr>
        <w:t>）论文发表量较“十一五”增长</w:t>
      </w:r>
      <w:r w:rsidRPr="00AF174C">
        <w:rPr>
          <w:rFonts w:ascii="楷体_GB2312" w:eastAsia="楷体_GB2312" w:hAnsi="Times New Roman"/>
          <w:bCs/>
          <w:color w:val="000000"/>
          <w:sz w:val="28"/>
          <w:szCs w:val="28"/>
        </w:rPr>
        <w:t>47.4%</w:t>
      </w:r>
      <w:r w:rsidRPr="00AF174C">
        <w:rPr>
          <w:rFonts w:ascii="楷体_GB2312" w:eastAsia="楷体_GB2312" w:hAnsi="Times New Roman" w:hint="eastAsia"/>
          <w:bCs/>
          <w:color w:val="000000"/>
          <w:sz w:val="28"/>
          <w:szCs w:val="28"/>
        </w:rPr>
        <w:t>，</w:t>
      </w:r>
      <w:r w:rsidRPr="00AF174C">
        <w:rPr>
          <w:rFonts w:ascii="楷体_GB2312" w:eastAsia="楷体_GB2312" w:hAnsi="Times New Roman"/>
          <w:bCs/>
          <w:color w:val="000000"/>
          <w:sz w:val="28"/>
          <w:szCs w:val="28"/>
        </w:rPr>
        <w:t>SSCI</w:t>
      </w:r>
      <w:r w:rsidRPr="00AF174C">
        <w:rPr>
          <w:rFonts w:ascii="楷体_GB2312" w:eastAsia="楷体_GB2312" w:hAnsi="Times New Roman" w:hint="eastAsia"/>
          <w:bCs/>
          <w:color w:val="000000"/>
          <w:sz w:val="28"/>
          <w:szCs w:val="28"/>
        </w:rPr>
        <w:t>论文发文增长了</w:t>
      </w:r>
      <w:r w:rsidRPr="00AF174C">
        <w:rPr>
          <w:rFonts w:ascii="楷体_GB2312" w:eastAsia="楷体_GB2312" w:hAnsi="Times New Roman"/>
          <w:bCs/>
          <w:color w:val="000000"/>
          <w:sz w:val="28"/>
          <w:szCs w:val="28"/>
        </w:rPr>
        <w:t>5.6</w:t>
      </w:r>
      <w:r w:rsidRPr="00AF174C">
        <w:rPr>
          <w:rFonts w:ascii="楷体_GB2312" w:eastAsia="楷体_GB2312" w:hAnsi="Times New Roman" w:hint="eastAsia"/>
          <w:bCs/>
          <w:color w:val="000000"/>
          <w:sz w:val="28"/>
          <w:szCs w:val="28"/>
        </w:rPr>
        <w:t>倍，达到</w:t>
      </w:r>
      <w:r w:rsidRPr="00AF174C">
        <w:rPr>
          <w:rFonts w:ascii="楷体_GB2312" w:eastAsia="楷体_GB2312" w:hAnsi="Times New Roman"/>
          <w:bCs/>
          <w:color w:val="000000"/>
          <w:sz w:val="28"/>
          <w:szCs w:val="28"/>
        </w:rPr>
        <w:t>532</w:t>
      </w:r>
      <w:r w:rsidRPr="00AF174C">
        <w:rPr>
          <w:rFonts w:ascii="楷体_GB2312" w:eastAsia="楷体_GB2312" w:hAnsi="Times New Roman" w:hint="eastAsia"/>
          <w:bCs/>
          <w:color w:val="000000"/>
          <w:sz w:val="28"/>
          <w:szCs w:val="28"/>
        </w:rPr>
        <w:t>篇。在《美国经济评论》等经济学、商学国际顶级学术期刊上发表论文取得明显增长，理论经济学实现了在《</w:t>
      </w:r>
      <w:r w:rsidRPr="00AF174C">
        <w:rPr>
          <w:rFonts w:ascii="楷体_GB2312" w:eastAsia="楷体_GB2312" w:hAnsi="Times New Roman"/>
          <w:bCs/>
          <w:color w:val="000000"/>
          <w:sz w:val="28"/>
          <w:szCs w:val="28"/>
        </w:rPr>
        <w:t>American Economic Review</w:t>
      </w:r>
      <w:r w:rsidRPr="00AF174C">
        <w:rPr>
          <w:rFonts w:ascii="楷体_GB2312" w:eastAsia="楷体_GB2312" w:hAnsi="Times New Roman" w:hint="eastAsia"/>
          <w:bCs/>
          <w:color w:val="000000"/>
          <w:sz w:val="28"/>
          <w:szCs w:val="28"/>
        </w:rPr>
        <w:t>》等五大国际顶级期刊论文发表的全覆盖。不仅在经济机制设计、金融定价机理、数据降维方法等基础研究上有所建树，并且对中国农村劳动力转移、中国上市公司治理、中国医保改革等问题的研究发出中国学者声音。</w:t>
      </w:r>
      <w:r w:rsidRPr="00AF174C">
        <w:rPr>
          <w:rFonts w:ascii="楷体_GB2312" w:eastAsia="楷体_GB2312" w:hAnsi="Times New Roman"/>
          <w:bCs/>
          <w:color w:val="000000"/>
          <w:sz w:val="28"/>
          <w:szCs w:val="28"/>
        </w:rPr>
        <w:t>6</w:t>
      </w:r>
      <w:r w:rsidRPr="00AF174C">
        <w:rPr>
          <w:rFonts w:ascii="楷体_GB2312" w:eastAsia="楷体_GB2312" w:hAnsi="Times New Roman" w:hint="eastAsia"/>
          <w:bCs/>
          <w:color w:val="000000"/>
          <w:sz w:val="28"/>
          <w:szCs w:val="28"/>
        </w:rPr>
        <w:t>篇论文入选</w:t>
      </w:r>
      <w:r w:rsidRPr="00AF174C">
        <w:rPr>
          <w:rFonts w:ascii="楷体_GB2312" w:eastAsia="楷体_GB2312" w:hAnsi="Times New Roman"/>
          <w:bCs/>
          <w:color w:val="000000"/>
          <w:sz w:val="28"/>
          <w:szCs w:val="28"/>
        </w:rPr>
        <w:t>ESI</w:t>
      </w:r>
      <w:r w:rsidRPr="00AF174C">
        <w:rPr>
          <w:rFonts w:ascii="楷体_GB2312" w:eastAsia="楷体_GB2312" w:hAnsi="Times New Roman" w:hint="eastAsia"/>
          <w:bCs/>
          <w:color w:val="000000"/>
          <w:sz w:val="28"/>
          <w:szCs w:val="28"/>
        </w:rPr>
        <w:t>高被引论文，</w:t>
      </w:r>
      <w:r w:rsidRPr="00AF174C">
        <w:rPr>
          <w:rFonts w:ascii="楷体_GB2312" w:eastAsia="楷体_GB2312" w:hAnsi="Times New Roman"/>
          <w:bCs/>
          <w:color w:val="000000"/>
          <w:sz w:val="28"/>
          <w:szCs w:val="28"/>
        </w:rPr>
        <w:t>2</w:t>
      </w:r>
      <w:r w:rsidRPr="00AF174C">
        <w:rPr>
          <w:rFonts w:ascii="楷体_GB2312" w:eastAsia="楷体_GB2312" w:hAnsi="Times New Roman" w:hint="eastAsia"/>
          <w:bCs/>
          <w:color w:val="000000"/>
          <w:sz w:val="28"/>
          <w:szCs w:val="28"/>
        </w:rPr>
        <w:t>部专著获国内经济学界最高奖</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孙冶方经济科学奖。</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以“</w:t>
      </w:r>
      <w:r w:rsidRPr="00AF174C">
        <w:rPr>
          <w:rFonts w:ascii="楷体_GB2312" w:eastAsia="楷体_GB2312" w:hAnsi="Times New Roman"/>
          <w:b/>
          <w:bCs/>
          <w:color w:val="000000"/>
          <w:sz w:val="28"/>
          <w:szCs w:val="28"/>
        </w:rPr>
        <w:t>2011</w:t>
      </w:r>
      <w:r w:rsidRPr="00AF174C">
        <w:rPr>
          <w:rFonts w:ascii="楷体_GB2312" w:eastAsia="楷体_GB2312" w:hAnsi="Times New Roman" w:hint="eastAsia"/>
          <w:b/>
          <w:bCs/>
          <w:color w:val="000000"/>
          <w:sz w:val="28"/>
          <w:szCs w:val="28"/>
        </w:rPr>
        <w:t>计划”和部市共建为牵引，智库建设和决策咨询研究成效显著。</w:t>
      </w:r>
      <w:r w:rsidRPr="00AF174C">
        <w:rPr>
          <w:rFonts w:ascii="楷体_GB2312" w:eastAsia="楷体_GB2312" w:hAnsi="Times New Roman" w:hint="eastAsia"/>
          <w:bCs/>
          <w:color w:val="000000"/>
          <w:sz w:val="28"/>
          <w:szCs w:val="28"/>
        </w:rPr>
        <w:t>实施“两个行动计划”，打造服务国家和地方需求的新型财经智库。牵头成立</w:t>
      </w:r>
      <w:r w:rsidRPr="00AF174C">
        <w:rPr>
          <w:rFonts w:ascii="楷体_GB2312" w:eastAsia="楷体_GB2312" w:hAnsi="Times New Roman"/>
          <w:bCs/>
          <w:color w:val="000000"/>
          <w:sz w:val="28"/>
          <w:szCs w:val="28"/>
        </w:rPr>
        <w:t>3</w:t>
      </w:r>
      <w:r w:rsidRPr="00AF174C">
        <w:rPr>
          <w:rFonts w:ascii="楷体_GB2312" w:eastAsia="楷体_GB2312" w:hAnsi="Times New Roman" w:hint="eastAsia"/>
          <w:bCs/>
          <w:color w:val="000000"/>
          <w:sz w:val="28"/>
          <w:szCs w:val="28"/>
        </w:rPr>
        <w:t>个协同创新中心，自贸区协同创新中心先后参与自贸试验区总体方案及其升级版、自贸试验区负面清单、自贸试验区条例和仲裁规则等研究制订，并作为官方批准的独立第三方机构，参与完成上海自贸区政策与制度创新绩效评估。组建成立中国公共财政研究院、上海发展研究院、大数据统计科学中心等研究机构。“十二五”期间</w:t>
      </w:r>
      <w:r>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递交专家建议</w:t>
      </w:r>
      <w:r w:rsidRPr="00AF174C">
        <w:rPr>
          <w:rFonts w:ascii="楷体_GB2312" w:eastAsia="楷体_GB2312" w:hAnsi="Times New Roman"/>
          <w:bCs/>
          <w:color w:val="000000"/>
          <w:sz w:val="28"/>
          <w:szCs w:val="28"/>
        </w:rPr>
        <w:t>400</w:t>
      </w:r>
      <w:r w:rsidRPr="00AF174C">
        <w:rPr>
          <w:rFonts w:ascii="楷体_GB2312" w:eastAsia="楷体_GB2312" w:hAnsi="Times New Roman" w:hint="eastAsia"/>
          <w:bCs/>
          <w:color w:val="000000"/>
          <w:sz w:val="28"/>
          <w:szCs w:val="28"/>
        </w:rPr>
        <w:t>余份，其中有关中国粮食安全、第二轮分税制改革、营改增、预算法修订等</w:t>
      </w:r>
      <w:r w:rsidRPr="00AF174C">
        <w:rPr>
          <w:rFonts w:ascii="楷体_GB2312" w:eastAsia="楷体_GB2312" w:hAnsi="Times New Roman"/>
          <w:bCs/>
          <w:color w:val="000000"/>
          <w:sz w:val="28"/>
          <w:szCs w:val="28"/>
        </w:rPr>
        <w:t>110</w:t>
      </w:r>
      <w:r w:rsidRPr="00AF174C">
        <w:rPr>
          <w:rFonts w:ascii="楷体_GB2312" w:eastAsia="楷体_GB2312" w:hAnsi="Times New Roman" w:hint="eastAsia"/>
          <w:bCs/>
          <w:color w:val="000000"/>
          <w:sz w:val="28"/>
          <w:szCs w:val="28"/>
        </w:rPr>
        <w:t>余份专家建议，被采纳或获得重要领导批示</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获上海市决策咨询成果奖累计</w:t>
      </w:r>
      <w:r w:rsidRPr="003E17B8">
        <w:rPr>
          <w:rFonts w:ascii="楷体_GB2312" w:eastAsia="楷体_GB2312" w:hAnsi="Times New Roman"/>
          <w:bCs/>
          <w:color w:val="000000"/>
          <w:sz w:val="28"/>
          <w:szCs w:val="28"/>
        </w:rPr>
        <w:t>33</w:t>
      </w:r>
      <w:r w:rsidRPr="00AF174C">
        <w:rPr>
          <w:rFonts w:ascii="楷体_GB2312" w:eastAsia="楷体_GB2312" w:hAnsi="Times New Roman" w:hint="eastAsia"/>
          <w:bCs/>
          <w:color w:val="000000"/>
          <w:sz w:val="28"/>
          <w:szCs w:val="28"/>
        </w:rPr>
        <w:t>项</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位列上海高校前列。</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（四）人才强校，师资队伍水平显著提高</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坚持高端引领、引培并重，打造海内外优秀人才集聚高地，推动教师队伍结构不断优化和质量水平整体提升。</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深化人才体制机制改革，构建“引得进、用得好、留得住、流得动”的用人机制。</w:t>
      </w:r>
      <w:r w:rsidRPr="00AF174C">
        <w:rPr>
          <w:rFonts w:ascii="楷体_GB2312" w:eastAsia="楷体_GB2312" w:hAnsi="Times New Roman" w:hint="eastAsia"/>
          <w:bCs/>
          <w:color w:val="000000"/>
          <w:sz w:val="28"/>
          <w:szCs w:val="28"/>
        </w:rPr>
        <w:t>加强以“常任轨”为核心的师资管理制度创新，形成具有国际视野与办学能力的管理层、海外特聘教授和“常任轨”教师三位一体的国际化师资队伍。</w:t>
      </w:r>
      <w:r>
        <w:rPr>
          <w:rFonts w:ascii="楷体_GB2312" w:eastAsia="楷体_GB2312" w:hAnsi="Times New Roman" w:hint="eastAsia"/>
          <w:bCs/>
          <w:color w:val="000000"/>
          <w:sz w:val="28"/>
          <w:szCs w:val="28"/>
        </w:rPr>
        <w:t>改</w:t>
      </w:r>
      <w:r w:rsidRPr="00AF174C">
        <w:rPr>
          <w:rFonts w:ascii="楷体_GB2312" w:eastAsia="楷体_GB2312" w:hAnsi="Times New Roman" w:hint="eastAsia"/>
          <w:bCs/>
          <w:color w:val="000000"/>
          <w:sz w:val="28"/>
          <w:szCs w:val="28"/>
        </w:rPr>
        <w:t>革“国内轨”教师管理模式，推出“新聘研究人员”、新进教师首聘期退出机制、师资博士后等制度，促进双轨师资融合发展。实施教师岗位分类管理，建立“高质量、多元化”考评机制。深化收入分配改革，完善绩效导向的薪酬激励机制。</w:t>
      </w:r>
    </w:p>
    <w:p w:rsidR="003807C6" w:rsidRPr="00AF174C" w:rsidRDefault="003807C6" w:rsidP="004859D1">
      <w:pPr>
        <w:snapToGrid w:val="0"/>
        <w:spacing w:line="360" w:lineRule="auto"/>
        <w:ind w:firstLineChars="200" w:firstLine="31680"/>
        <w:rPr>
          <w:rFonts w:ascii="楷体_GB2312" w:eastAsia="楷体_GB2312" w:hAnsi="Times New Roman"/>
          <w:b/>
          <w:bCs/>
          <w:color w:val="000000"/>
          <w:sz w:val="28"/>
          <w:szCs w:val="28"/>
        </w:rPr>
      </w:pPr>
      <w:r w:rsidRPr="003E17B8">
        <w:rPr>
          <w:rFonts w:ascii="楷体_GB2312" w:eastAsia="楷体_GB2312" w:hAnsi="Times New Roman" w:hint="eastAsia"/>
          <w:b/>
          <w:bCs/>
          <w:color w:val="000000"/>
          <w:sz w:val="28"/>
          <w:szCs w:val="28"/>
        </w:rPr>
        <w:t>加大高层次人才引培力度，师资队伍呈现结构优化、素质提升、活力增强的可喜局面。</w:t>
      </w:r>
      <w:r w:rsidRPr="003E17B8">
        <w:rPr>
          <w:rFonts w:ascii="楷体_GB2312" w:eastAsia="楷体_GB2312" w:hAnsi="Times New Roman" w:hint="eastAsia"/>
          <w:bCs/>
          <w:color w:val="000000"/>
          <w:sz w:val="28"/>
          <w:szCs w:val="28"/>
        </w:rPr>
        <w:t>成立人才工作办公室，选好配强人才工作力量。“十二五”末，学校拥有专任教师</w:t>
      </w:r>
      <w:r w:rsidRPr="003E17B8">
        <w:rPr>
          <w:rFonts w:ascii="楷体_GB2312" w:eastAsia="楷体_GB2312" w:hAnsi="Times New Roman"/>
          <w:bCs/>
          <w:color w:val="000000"/>
          <w:sz w:val="28"/>
          <w:szCs w:val="28"/>
        </w:rPr>
        <w:t>837</w:t>
      </w:r>
      <w:r w:rsidRPr="003E17B8">
        <w:rPr>
          <w:rFonts w:ascii="楷体_GB2312" w:eastAsia="楷体_GB2312" w:hAnsi="Times New Roman" w:hint="eastAsia"/>
          <w:bCs/>
          <w:color w:val="000000"/>
          <w:sz w:val="28"/>
          <w:szCs w:val="28"/>
        </w:rPr>
        <w:t>人，较“十一五”末增长</w:t>
      </w:r>
      <w:r w:rsidRPr="003E17B8">
        <w:rPr>
          <w:rFonts w:ascii="楷体_GB2312" w:eastAsia="楷体_GB2312" w:hAnsi="Times New Roman"/>
          <w:bCs/>
          <w:color w:val="000000"/>
          <w:sz w:val="28"/>
          <w:szCs w:val="28"/>
        </w:rPr>
        <w:t>13.4%</w:t>
      </w:r>
      <w:r w:rsidRPr="003E17B8">
        <w:rPr>
          <w:rFonts w:ascii="楷体_GB2312" w:eastAsia="楷体_GB2312" w:hAnsi="Times New Roman" w:hint="eastAsia"/>
          <w:bCs/>
          <w:color w:val="000000"/>
          <w:sz w:val="28"/>
          <w:szCs w:val="28"/>
        </w:rPr>
        <w:t>。师资结构不断优化，高级职务教师占比</w:t>
      </w:r>
      <w:r w:rsidRPr="003E17B8">
        <w:rPr>
          <w:rFonts w:ascii="楷体_GB2312" w:eastAsia="楷体_GB2312" w:hAnsi="Times New Roman"/>
          <w:bCs/>
          <w:color w:val="000000"/>
          <w:sz w:val="28"/>
          <w:szCs w:val="28"/>
        </w:rPr>
        <w:t>65.2</w:t>
      </w:r>
      <w:r w:rsidRPr="003E17B8">
        <w:rPr>
          <w:rFonts w:ascii="楷体_GB2312" w:eastAsia="楷体_GB2312" w:hAnsi="Times New Roman" w:hint="eastAsia"/>
          <w:bCs/>
          <w:color w:val="000000"/>
          <w:sz w:val="28"/>
          <w:szCs w:val="28"/>
        </w:rPr>
        <w:t>％，较“十一五”末提高</w:t>
      </w:r>
      <w:r w:rsidRPr="003E17B8">
        <w:rPr>
          <w:rFonts w:ascii="楷体_GB2312" w:eastAsia="楷体_GB2312" w:hAnsi="Times New Roman"/>
          <w:bCs/>
          <w:color w:val="000000"/>
          <w:sz w:val="28"/>
          <w:szCs w:val="28"/>
        </w:rPr>
        <w:t>2.9%</w:t>
      </w:r>
      <w:r w:rsidRPr="003E17B8">
        <w:rPr>
          <w:rFonts w:ascii="楷体_GB2312" w:eastAsia="楷体_GB2312" w:hAnsi="Times New Roman" w:hint="eastAsia"/>
          <w:bCs/>
          <w:color w:val="000000"/>
          <w:sz w:val="28"/>
          <w:szCs w:val="28"/>
        </w:rPr>
        <w:t>；具有博士学位教师占比</w:t>
      </w:r>
      <w:r w:rsidRPr="003E17B8">
        <w:rPr>
          <w:rFonts w:ascii="楷体_GB2312" w:eastAsia="楷体_GB2312" w:hAnsi="Times New Roman"/>
          <w:bCs/>
          <w:color w:val="000000"/>
          <w:sz w:val="28"/>
          <w:szCs w:val="28"/>
        </w:rPr>
        <w:t>83.2</w:t>
      </w:r>
      <w:r w:rsidRPr="003E17B8">
        <w:rPr>
          <w:rFonts w:ascii="楷体_GB2312" w:eastAsia="楷体_GB2312" w:hAnsi="Times New Roman" w:hint="eastAsia"/>
          <w:bCs/>
          <w:color w:val="000000"/>
          <w:sz w:val="28"/>
          <w:szCs w:val="28"/>
        </w:rPr>
        <w:t>％，较“十一五”末提高</w:t>
      </w:r>
      <w:r w:rsidRPr="003E17B8">
        <w:rPr>
          <w:rFonts w:ascii="楷体_GB2312" w:eastAsia="楷体_GB2312" w:hAnsi="Times New Roman"/>
          <w:bCs/>
          <w:color w:val="000000"/>
          <w:sz w:val="28"/>
          <w:szCs w:val="28"/>
        </w:rPr>
        <w:t>10.6%</w:t>
      </w:r>
      <w:r w:rsidRPr="003E17B8">
        <w:rPr>
          <w:rFonts w:ascii="楷体_GB2312" w:eastAsia="楷体_GB2312" w:hAnsi="Times New Roman" w:hint="eastAsia"/>
          <w:bCs/>
          <w:color w:val="000000"/>
          <w:sz w:val="28"/>
          <w:szCs w:val="28"/>
        </w:rPr>
        <w:t>。师资质量显著增强，新增各类高层次人才计划入选者</w:t>
      </w:r>
      <w:r w:rsidRPr="003E17B8">
        <w:rPr>
          <w:rFonts w:ascii="楷体_GB2312" w:eastAsia="楷体_GB2312" w:hAnsi="Times New Roman"/>
          <w:bCs/>
          <w:color w:val="000000"/>
          <w:sz w:val="28"/>
          <w:szCs w:val="28"/>
        </w:rPr>
        <w:t>140</w:t>
      </w:r>
      <w:r w:rsidRPr="003E17B8">
        <w:rPr>
          <w:rFonts w:ascii="楷体_GB2312" w:eastAsia="楷体_GB2312" w:hAnsi="Times New Roman" w:hint="eastAsia"/>
          <w:bCs/>
          <w:color w:val="000000"/>
          <w:sz w:val="28"/>
          <w:szCs w:val="28"/>
        </w:rPr>
        <w:t>余人次（其中，万人计划</w:t>
      </w:r>
      <w:r w:rsidRPr="003E17B8">
        <w:rPr>
          <w:rFonts w:ascii="楷体_GB2312" w:eastAsia="楷体_GB2312" w:hAnsi="Times New Roman"/>
          <w:bCs/>
          <w:color w:val="000000"/>
          <w:sz w:val="28"/>
          <w:szCs w:val="28"/>
        </w:rPr>
        <w:t>1</w:t>
      </w:r>
      <w:r w:rsidRPr="003E17B8">
        <w:rPr>
          <w:rFonts w:ascii="楷体_GB2312" w:eastAsia="楷体_GB2312" w:hAnsi="Times New Roman" w:hint="eastAsia"/>
          <w:bCs/>
          <w:color w:val="000000"/>
          <w:sz w:val="28"/>
          <w:szCs w:val="28"/>
        </w:rPr>
        <w:t>人，中央千人计划</w:t>
      </w:r>
      <w:r w:rsidRPr="003E17B8">
        <w:rPr>
          <w:rFonts w:ascii="楷体_GB2312" w:eastAsia="楷体_GB2312" w:hAnsi="Times New Roman"/>
          <w:bCs/>
          <w:color w:val="000000"/>
          <w:sz w:val="28"/>
          <w:szCs w:val="28"/>
        </w:rPr>
        <w:t>10</w:t>
      </w:r>
      <w:r w:rsidRPr="003E17B8">
        <w:rPr>
          <w:rFonts w:ascii="楷体_GB2312" w:eastAsia="楷体_GB2312" w:hAnsi="Times New Roman" w:hint="eastAsia"/>
          <w:bCs/>
          <w:color w:val="000000"/>
          <w:sz w:val="28"/>
          <w:szCs w:val="28"/>
        </w:rPr>
        <w:t>人，长江学者</w:t>
      </w:r>
      <w:r w:rsidRPr="003E17B8">
        <w:rPr>
          <w:rFonts w:ascii="楷体_GB2312" w:eastAsia="楷体_GB2312" w:hAnsi="Times New Roman"/>
          <w:bCs/>
          <w:color w:val="000000"/>
          <w:sz w:val="28"/>
          <w:szCs w:val="28"/>
        </w:rPr>
        <w:t>6</w:t>
      </w:r>
      <w:r w:rsidRPr="003E17B8">
        <w:rPr>
          <w:rFonts w:ascii="楷体_GB2312" w:eastAsia="楷体_GB2312" w:hAnsi="Times New Roman" w:hint="eastAsia"/>
          <w:bCs/>
          <w:color w:val="000000"/>
          <w:sz w:val="28"/>
          <w:szCs w:val="28"/>
        </w:rPr>
        <w:t>人，教育部创新团队</w:t>
      </w:r>
      <w:r w:rsidRPr="003E17B8">
        <w:rPr>
          <w:rFonts w:ascii="楷体_GB2312" w:eastAsia="楷体_GB2312" w:hAnsi="Times New Roman"/>
          <w:bCs/>
          <w:color w:val="000000"/>
          <w:sz w:val="28"/>
          <w:szCs w:val="28"/>
        </w:rPr>
        <w:t>1</w:t>
      </w:r>
      <w:r w:rsidRPr="003E17B8">
        <w:rPr>
          <w:rFonts w:ascii="楷体_GB2312" w:eastAsia="楷体_GB2312" w:hAnsi="Times New Roman" w:hint="eastAsia"/>
          <w:bCs/>
          <w:color w:val="000000"/>
          <w:sz w:val="28"/>
          <w:szCs w:val="28"/>
        </w:rPr>
        <w:t>个），在入选国家杰出青年基金计划、国家优秀青年基金计划、上海领军人才（地方队）上取得突破。实施“</w:t>
      </w:r>
      <w:r w:rsidRPr="003E17B8">
        <w:rPr>
          <w:rFonts w:ascii="楷体_GB2312" w:eastAsia="楷体_GB2312" w:hAnsi="Times New Roman"/>
          <w:bCs/>
          <w:color w:val="000000"/>
          <w:sz w:val="28"/>
          <w:szCs w:val="28"/>
        </w:rPr>
        <w:t>1351</w:t>
      </w:r>
      <w:r w:rsidRPr="003E17B8">
        <w:rPr>
          <w:rFonts w:ascii="楷体_GB2312" w:eastAsia="楷体_GB2312" w:hAnsi="Times New Roman" w:hint="eastAsia"/>
          <w:bCs/>
          <w:color w:val="000000"/>
          <w:sz w:val="28"/>
          <w:szCs w:val="28"/>
        </w:rPr>
        <w:t>人才工程”，两批共评选资深教授</w:t>
      </w:r>
      <w:r w:rsidRPr="003E17B8">
        <w:rPr>
          <w:rFonts w:ascii="楷体_GB2312" w:eastAsia="楷体_GB2312" w:hAnsi="Times New Roman"/>
          <w:bCs/>
          <w:color w:val="000000"/>
          <w:sz w:val="28"/>
          <w:szCs w:val="28"/>
        </w:rPr>
        <w:t>9</w:t>
      </w:r>
      <w:r w:rsidRPr="003E17B8">
        <w:rPr>
          <w:rFonts w:ascii="楷体_GB2312" w:eastAsia="楷体_GB2312" w:hAnsi="Times New Roman" w:hint="eastAsia"/>
          <w:bCs/>
          <w:color w:val="000000"/>
          <w:sz w:val="28"/>
          <w:szCs w:val="28"/>
        </w:rPr>
        <w:t>人、讲席教授</w:t>
      </w:r>
      <w:r>
        <w:rPr>
          <w:rFonts w:ascii="楷体_GB2312" w:eastAsia="楷体_GB2312" w:hAnsi="Times New Roman"/>
          <w:bCs/>
          <w:color w:val="000000"/>
          <w:sz w:val="28"/>
          <w:szCs w:val="28"/>
        </w:rPr>
        <w:t>21</w:t>
      </w:r>
      <w:r w:rsidRPr="003E17B8">
        <w:rPr>
          <w:rFonts w:ascii="楷体_GB2312" w:eastAsia="楷体_GB2312" w:hAnsi="Times New Roman" w:hint="eastAsia"/>
          <w:bCs/>
          <w:color w:val="000000"/>
          <w:sz w:val="28"/>
          <w:szCs w:val="28"/>
        </w:rPr>
        <w:t>人、讲席副教授</w:t>
      </w:r>
      <w:r w:rsidRPr="003E17B8">
        <w:rPr>
          <w:rFonts w:ascii="楷体_GB2312" w:eastAsia="楷体_GB2312" w:hAnsi="Times New Roman"/>
          <w:bCs/>
          <w:color w:val="000000"/>
          <w:sz w:val="28"/>
          <w:szCs w:val="28"/>
        </w:rPr>
        <w:t>41</w:t>
      </w:r>
      <w:r w:rsidRPr="003E17B8">
        <w:rPr>
          <w:rFonts w:ascii="楷体_GB2312" w:eastAsia="楷体_GB2312" w:hAnsi="Times New Roman" w:hint="eastAsia"/>
          <w:bCs/>
          <w:color w:val="000000"/>
          <w:sz w:val="28"/>
          <w:szCs w:val="28"/>
        </w:rPr>
        <w:t>人、创新团队</w:t>
      </w:r>
      <w:r w:rsidRPr="003E17B8">
        <w:rPr>
          <w:rFonts w:ascii="楷体_GB2312" w:eastAsia="楷体_GB2312" w:hAnsi="Times New Roman"/>
          <w:bCs/>
          <w:color w:val="000000"/>
          <w:sz w:val="28"/>
          <w:szCs w:val="28"/>
        </w:rPr>
        <w:t>20</w:t>
      </w:r>
      <w:r w:rsidRPr="003E17B8">
        <w:rPr>
          <w:rFonts w:ascii="楷体_GB2312" w:eastAsia="楷体_GB2312" w:hAnsi="Times New Roman" w:hint="eastAsia"/>
          <w:bCs/>
          <w:color w:val="000000"/>
          <w:sz w:val="28"/>
          <w:szCs w:val="28"/>
        </w:rPr>
        <w:t>个。</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（五）开放办学，对外交流合作</w:t>
      </w:r>
      <w:r>
        <w:rPr>
          <w:rFonts w:ascii="黑体" w:eastAsia="黑体" w:hAnsi="Times New Roman" w:hint="eastAsia"/>
          <w:b/>
          <w:bCs/>
          <w:color w:val="000000"/>
          <w:sz w:val="28"/>
          <w:szCs w:val="28"/>
        </w:rPr>
        <w:t>快速发展</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坚持开放办学理念，走出去与引进来相结合，构建全方位、宽领域、多层次的对外交流合作新格局，有效汇聚各方力量助力学校发展。</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深入实施</w:t>
      </w:r>
      <w:r w:rsidRPr="00AF174C">
        <w:rPr>
          <w:rFonts w:ascii="楷体_GB2312" w:eastAsia="楷体_GB2312" w:hAnsi="Times New Roman"/>
          <w:b/>
          <w:bCs/>
          <w:color w:val="000000"/>
          <w:sz w:val="28"/>
          <w:szCs w:val="28"/>
        </w:rPr>
        <w:t>Global SUFE</w:t>
      </w:r>
      <w:r w:rsidRPr="00AF174C">
        <w:rPr>
          <w:rFonts w:ascii="楷体_GB2312" w:eastAsia="楷体_GB2312" w:hAnsi="Times New Roman" w:hint="eastAsia"/>
          <w:b/>
          <w:bCs/>
          <w:color w:val="000000"/>
          <w:sz w:val="28"/>
          <w:szCs w:val="28"/>
        </w:rPr>
        <w:t>战略，国际化办学水平全面提升。</w:t>
      </w:r>
      <w:r w:rsidRPr="00AF174C">
        <w:rPr>
          <w:rFonts w:ascii="楷体_GB2312" w:eastAsia="楷体_GB2312" w:hAnsi="Times New Roman" w:hint="eastAsia"/>
          <w:bCs/>
          <w:color w:val="000000"/>
          <w:sz w:val="28"/>
          <w:szCs w:val="28"/>
        </w:rPr>
        <w:t>加强与世界一流大学和学术机构的实质性合作，与</w:t>
      </w:r>
      <w:r w:rsidRPr="00AF174C">
        <w:rPr>
          <w:rFonts w:ascii="楷体_GB2312" w:eastAsia="楷体_GB2312" w:hAnsi="Times New Roman"/>
          <w:bCs/>
          <w:color w:val="000000"/>
          <w:sz w:val="28"/>
          <w:szCs w:val="28"/>
        </w:rPr>
        <w:t>28</w:t>
      </w:r>
      <w:r w:rsidRPr="00AF174C">
        <w:rPr>
          <w:rFonts w:ascii="楷体_GB2312" w:eastAsia="楷体_GB2312" w:hAnsi="Times New Roman" w:hint="eastAsia"/>
          <w:bCs/>
          <w:color w:val="000000"/>
          <w:sz w:val="28"/>
          <w:szCs w:val="28"/>
        </w:rPr>
        <w:t>个国家的</w:t>
      </w:r>
      <w:r w:rsidRPr="00AF174C">
        <w:rPr>
          <w:rFonts w:ascii="楷体_GB2312" w:eastAsia="楷体_GB2312" w:hAnsi="Times New Roman"/>
          <w:bCs/>
          <w:color w:val="000000"/>
          <w:sz w:val="28"/>
          <w:szCs w:val="28"/>
        </w:rPr>
        <w:t>165</w:t>
      </w:r>
      <w:r w:rsidRPr="00AF174C">
        <w:rPr>
          <w:rFonts w:ascii="楷体_GB2312" w:eastAsia="楷体_GB2312" w:hAnsi="Times New Roman" w:hint="eastAsia"/>
          <w:bCs/>
          <w:color w:val="000000"/>
          <w:sz w:val="28"/>
          <w:szCs w:val="28"/>
        </w:rPr>
        <w:t>所大学</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机构签署了协议，包括美国斯坦福大学、加州伯克利分校、英国剑桥露西·卡文迪许学院等。探索多样化的中外合作办学模式，推出暑期国际课程，创办国际暑期夏令营，建立国际联合课堂，实施“</w:t>
      </w:r>
      <w:r w:rsidRPr="00AF174C">
        <w:rPr>
          <w:rFonts w:ascii="楷体_GB2312" w:eastAsia="楷体_GB2312" w:hAnsi="Times New Roman"/>
          <w:bCs/>
          <w:color w:val="000000"/>
          <w:sz w:val="28"/>
          <w:szCs w:val="28"/>
        </w:rPr>
        <w:t>3+1+1</w:t>
      </w:r>
      <w:r w:rsidRPr="00AF174C">
        <w:rPr>
          <w:rFonts w:ascii="楷体_GB2312" w:eastAsia="楷体_GB2312" w:hAnsi="Times New Roman" w:hint="eastAsia"/>
          <w:bCs/>
          <w:color w:val="000000"/>
          <w:sz w:val="28"/>
          <w:szCs w:val="28"/>
        </w:rPr>
        <w:t>”本硕连读合作培养计划、“</w:t>
      </w:r>
      <w:r w:rsidRPr="00AF174C">
        <w:rPr>
          <w:rFonts w:ascii="楷体_GB2312" w:eastAsia="楷体_GB2312" w:hAnsi="Times New Roman"/>
          <w:bCs/>
          <w:color w:val="000000"/>
          <w:sz w:val="28"/>
          <w:szCs w:val="28"/>
        </w:rPr>
        <w:t>MBA+X</w:t>
      </w:r>
      <w:r w:rsidRPr="00AF174C">
        <w:rPr>
          <w:rFonts w:ascii="楷体_GB2312" w:eastAsia="楷体_GB2312" w:hAnsi="Times New Roman" w:hint="eastAsia"/>
          <w:bCs/>
          <w:color w:val="000000"/>
          <w:sz w:val="28"/>
          <w:szCs w:val="28"/>
        </w:rPr>
        <w:t>”合作双学位项目等。成功申报国际示范学院。大力发展学生海外学习实习项目，海外合作院校数量平均增长率为</w:t>
      </w:r>
      <w:r w:rsidRPr="00AF174C">
        <w:rPr>
          <w:rFonts w:ascii="楷体_GB2312" w:eastAsia="楷体_GB2312" w:hAnsi="Times New Roman"/>
          <w:bCs/>
          <w:color w:val="000000"/>
          <w:sz w:val="28"/>
          <w:szCs w:val="28"/>
        </w:rPr>
        <w:t>20%</w:t>
      </w:r>
      <w:r w:rsidRPr="00AF174C">
        <w:rPr>
          <w:rFonts w:ascii="楷体_GB2312" w:eastAsia="楷体_GB2312" w:hAnsi="Times New Roman" w:hint="eastAsia"/>
          <w:bCs/>
          <w:color w:val="000000"/>
          <w:sz w:val="28"/>
          <w:szCs w:val="28"/>
        </w:rPr>
        <w:t>，海外学习派遣规模平均增长率为</w:t>
      </w:r>
      <w:r w:rsidRPr="00AF174C">
        <w:rPr>
          <w:rFonts w:ascii="楷体_GB2312" w:eastAsia="楷体_GB2312" w:hAnsi="Times New Roman"/>
          <w:bCs/>
          <w:color w:val="000000"/>
          <w:sz w:val="28"/>
          <w:szCs w:val="28"/>
        </w:rPr>
        <w:t>15.3%</w:t>
      </w:r>
      <w:r w:rsidRPr="00AF174C">
        <w:rPr>
          <w:rFonts w:ascii="楷体_GB2312" w:eastAsia="楷体_GB2312" w:hAnsi="Times New Roman" w:hint="eastAsia"/>
          <w:bCs/>
          <w:color w:val="000000"/>
          <w:sz w:val="28"/>
          <w:szCs w:val="28"/>
        </w:rPr>
        <w:t>。实现</w:t>
      </w:r>
      <w:r>
        <w:rPr>
          <w:rFonts w:ascii="楷体_GB2312" w:eastAsia="楷体_GB2312" w:hAnsi="Times New Roman" w:hint="eastAsia"/>
          <w:bCs/>
          <w:color w:val="000000"/>
          <w:sz w:val="28"/>
          <w:szCs w:val="28"/>
        </w:rPr>
        <w:t>孔子学院零的突破，</w:t>
      </w:r>
      <w:r w:rsidRPr="00AF174C">
        <w:rPr>
          <w:rFonts w:ascii="楷体_GB2312" w:eastAsia="楷体_GB2312" w:hAnsi="Times New Roman" w:hint="eastAsia"/>
          <w:bCs/>
          <w:color w:val="000000"/>
          <w:sz w:val="28"/>
          <w:szCs w:val="28"/>
        </w:rPr>
        <w:t>与英国伦敦玛丽女王大学、爱沙尼亚塔林大学共建孔子学院</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通过</w:t>
      </w:r>
      <w:r w:rsidRPr="00AF174C">
        <w:rPr>
          <w:rFonts w:ascii="楷体_GB2312" w:eastAsia="楷体_GB2312" w:hAnsi="Times New Roman"/>
          <w:bCs/>
          <w:color w:val="000000"/>
          <w:sz w:val="28"/>
          <w:szCs w:val="28"/>
        </w:rPr>
        <w:t>AMBA</w:t>
      </w:r>
      <w:r w:rsidRPr="00AF174C">
        <w:rPr>
          <w:rFonts w:ascii="楷体_GB2312" w:eastAsia="楷体_GB2312" w:hAnsi="Times New Roman" w:hint="eastAsia"/>
          <w:bCs/>
          <w:color w:val="000000"/>
          <w:sz w:val="28"/>
          <w:szCs w:val="28"/>
        </w:rPr>
        <w:t>国际认证，启动</w:t>
      </w:r>
      <w:r w:rsidRPr="00AF174C">
        <w:rPr>
          <w:rFonts w:ascii="楷体_GB2312" w:eastAsia="楷体_GB2312" w:hAnsi="Times New Roman"/>
          <w:bCs/>
          <w:color w:val="000000"/>
          <w:sz w:val="28"/>
          <w:szCs w:val="28"/>
        </w:rPr>
        <w:t>EQUIS</w:t>
      </w:r>
      <w:r w:rsidRPr="00AF174C">
        <w:rPr>
          <w:rFonts w:ascii="楷体_GB2312" w:eastAsia="楷体_GB2312" w:hAnsi="Times New Roman" w:hint="eastAsia"/>
          <w:bCs/>
          <w:color w:val="000000"/>
          <w:sz w:val="28"/>
          <w:szCs w:val="28"/>
        </w:rPr>
        <w:t>和</w:t>
      </w:r>
      <w:r w:rsidRPr="00AF174C">
        <w:rPr>
          <w:rFonts w:ascii="楷体_GB2312" w:eastAsia="楷体_GB2312" w:hAnsi="Times New Roman"/>
          <w:bCs/>
          <w:color w:val="000000"/>
          <w:sz w:val="28"/>
          <w:szCs w:val="28"/>
        </w:rPr>
        <w:t>AACSB</w:t>
      </w:r>
      <w:r w:rsidRPr="00AF174C">
        <w:rPr>
          <w:rFonts w:ascii="楷体_GB2312" w:eastAsia="楷体_GB2312" w:hAnsi="Times New Roman" w:hint="eastAsia"/>
          <w:bCs/>
          <w:color w:val="000000"/>
          <w:sz w:val="28"/>
          <w:szCs w:val="28"/>
        </w:rPr>
        <w:t>认证工作，推进</w:t>
      </w:r>
      <w:r w:rsidRPr="00AF174C">
        <w:rPr>
          <w:rFonts w:ascii="楷体_GB2312" w:eastAsia="楷体_GB2312" w:hAnsi="Times New Roman"/>
          <w:bCs/>
          <w:color w:val="000000"/>
          <w:sz w:val="28"/>
          <w:szCs w:val="28"/>
        </w:rPr>
        <w:t>MPA</w:t>
      </w:r>
      <w:r w:rsidRPr="00AF174C">
        <w:rPr>
          <w:rFonts w:ascii="楷体_GB2312" w:eastAsia="楷体_GB2312" w:hAnsi="Times New Roman" w:hint="eastAsia"/>
          <w:bCs/>
          <w:color w:val="000000"/>
          <w:sz w:val="28"/>
          <w:szCs w:val="28"/>
        </w:rPr>
        <w:t>国际认证进程。</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8405C1">
        <w:rPr>
          <w:rFonts w:ascii="楷体_GB2312" w:eastAsia="楷体_GB2312" w:hAnsi="Times New Roman" w:hint="eastAsia"/>
          <w:b/>
          <w:bCs/>
          <w:color w:val="000000"/>
          <w:sz w:val="28"/>
          <w:szCs w:val="28"/>
        </w:rPr>
        <w:t>建立健全“三会”工作机制，学校与社会各界的交流合作日益密切。</w:t>
      </w:r>
      <w:r w:rsidRPr="00490A90">
        <w:rPr>
          <w:rFonts w:ascii="楷体_GB2312" w:eastAsia="楷体_GB2312" w:hAnsi="Times New Roman" w:hint="eastAsia"/>
          <w:bCs/>
          <w:color w:val="000000"/>
          <w:sz w:val="28"/>
          <w:szCs w:val="28"/>
        </w:rPr>
        <w:t>上海财经大学校友会</w:t>
      </w:r>
      <w:r w:rsidRPr="003267FA">
        <w:rPr>
          <w:rFonts w:ascii="楷体_GB2312" w:eastAsia="楷体_GB2312" w:hAnsi="Times New Roman" w:hint="eastAsia"/>
          <w:bCs/>
          <w:color w:val="000000"/>
          <w:sz w:val="28"/>
          <w:szCs w:val="28"/>
        </w:rPr>
        <w:t>在民政部登记注册，成为具有法人资格的全国性社团组织。校院两级校友工作机制基本健全，各级各类校友会组织蓬勃发展，“十二五”末地方校友会覆盖率已达到</w:t>
      </w:r>
      <w:r w:rsidRPr="003267FA">
        <w:rPr>
          <w:rFonts w:ascii="楷体_GB2312" w:eastAsia="楷体_GB2312" w:hAnsi="Times New Roman"/>
          <w:bCs/>
          <w:color w:val="000000"/>
          <w:sz w:val="28"/>
          <w:szCs w:val="28"/>
        </w:rPr>
        <w:t>88%</w:t>
      </w:r>
      <w:r w:rsidRPr="003267FA">
        <w:rPr>
          <w:rFonts w:ascii="楷体_GB2312" w:eastAsia="楷体_GB2312" w:hAnsi="Times New Roman" w:hint="eastAsia"/>
          <w:bCs/>
          <w:color w:val="000000"/>
          <w:sz w:val="28"/>
          <w:szCs w:val="28"/>
        </w:rPr>
        <w:t>，亚欧美澳四大洲均已成立校友会或联络处。成立校董会并顺利完成换届工作，第二届校董会邀请并聘任校董</w:t>
      </w:r>
      <w:r w:rsidRPr="003267FA">
        <w:rPr>
          <w:rFonts w:ascii="楷体_GB2312" w:eastAsia="楷体_GB2312" w:hAnsi="Times New Roman"/>
          <w:bCs/>
          <w:color w:val="000000"/>
          <w:sz w:val="28"/>
          <w:szCs w:val="28"/>
        </w:rPr>
        <w:t>51</w:t>
      </w:r>
      <w:r w:rsidRPr="003267FA">
        <w:rPr>
          <w:rFonts w:ascii="楷体_GB2312" w:eastAsia="楷体_GB2312" w:hAnsi="Times New Roman" w:hint="eastAsia"/>
          <w:bCs/>
          <w:color w:val="000000"/>
          <w:sz w:val="28"/>
          <w:szCs w:val="28"/>
        </w:rPr>
        <w:t>人，较第一届校董会人数规模增长</w:t>
      </w:r>
      <w:r w:rsidRPr="003267FA">
        <w:rPr>
          <w:rFonts w:ascii="楷体_GB2312" w:eastAsia="楷体_GB2312" w:hAnsi="Times New Roman"/>
          <w:bCs/>
          <w:color w:val="000000"/>
          <w:sz w:val="28"/>
          <w:szCs w:val="28"/>
        </w:rPr>
        <w:t>46%</w:t>
      </w:r>
      <w:r w:rsidRPr="003267FA">
        <w:rPr>
          <w:rFonts w:ascii="楷体_GB2312" w:eastAsia="楷体_GB2312" w:hAnsi="Times New Roman" w:hint="eastAsia"/>
          <w:bCs/>
          <w:color w:val="000000"/>
          <w:sz w:val="28"/>
          <w:szCs w:val="28"/>
        </w:rPr>
        <w:t>。广大校友、校董以各种形式关心支持学校建设，为学校事业发展作出重要贡献。加强基金会的专业化运作与管理，“十二五”期间共募资</w:t>
      </w:r>
      <w:r w:rsidRPr="003267FA">
        <w:rPr>
          <w:rFonts w:ascii="楷体_GB2312" w:eastAsia="楷体_GB2312" w:hAnsi="Times New Roman"/>
          <w:bCs/>
          <w:color w:val="000000"/>
          <w:sz w:val="28"/>
          <w:szCs w:val="28"/>
        </w:rPr>
        <w:t>1.08</w:t>
      </w:r>
      <w:r w:rsidRPr="003267FA">
        <w:rPr>
          <w:rFonts w:ascii="楷体_GB2312" w:eastAsia="楷体_GB2312" w:hAnsi="Times New Roman" w:hint="eastAsia"/>
          <w:bCs/>
          <w:color w:val="000000"/>
          <w:sz w:val="28"/>
          <w:szCs w:val="28"/>
        </w:rPr>
        <w:t>亿元，为奖学助学、师资培养、文化建设等多项工作提供重要支持。</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（六）依法治校，</w:t>
      </w:r>
      <w:r>
        <w:rPr>
          <w:rFonts w:ascii="黑体" w:eastAsia="黑体" w:hAnsi="Times New Roman" w:hint="eastAsia"/>
          <w:b/>
          <w:bCs/>
          <w:color w:val="000000"/>
          <w:sz w:val="28"/>
          <w:szCs w:val="28"/>
        </w:rPr>
        <w:t>加快推进现代大学制度建设</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坚持依法依章治校，构建充满活力、富有效率的现代大学管理体制和运行机制，</w:t>
      </w:r>
      <w:r>
        <w:rPr>
          <w:rFonts w:ascii="楷体_GB2312" w:eastAsia="楷体_GB2312" w:hAnsi="Times New Roman" w:hint="eastAsia"/>
          <w:bCs/>
          <w:color w:val="000000"/>
          <w:sz w:val="28"/>
          <w:szCs w:val="28"/>
        </w:rPr>
        <w:t>不断提升</w:t>
      </w:r>
      <w:r w:rsidRPr="00AF174C">
        <w:rPr>
          <w:rFonts w:ascii="楷体_GB2312" w:eastAsia="楷体_GB2312" w:hAnsi="Times New Roman" w:hint="eastAsia"/>
          <w:bCs/>
          <w:color w:val="000000"/>
          <w:sz w:val="28"/>
          <w:szCs w:val="28"/>
        </w:rPr>
        <w:t>治理体系和治理能力现代化</w:t>
      </w:r>
      <w:r>
        <w:rPr>
          <w:rFonts w:ascii="楷体_GB2312" w:eastAsia="楷体_GB2312" w:hAnsi="Times New Roman" w:hint="eastAsia"/>
          <w:bCs/>
          <w:color w:val="000000"/>
          <w:sz w:val="28"/>
          <w:szCs w:val="28"/>
        </w:rPr>
        <w:t>水平</w:t>
      </w:r>
      <w:r w:rsidRPr="00AF174C">
        <w:rPr>
          <w:rFonts w:ascii="楷体_GB2312" w:eastAsia="楷体_GB2312" w:hAnsi="Times New Roman" w:hint="eastAsia"/>
          <w:bCs/>
          <w:color w:val="000000"/>
          <w:sz w:val="28"/>
          <w:szCs w:val="28"/>
        </w:rPr>
        <w:t>。</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加强顶层设计，统筹推进“十三五”规划、综合改革和“双一流”建设。</w:t>
      </w:r>
      <w:r w:rsidRPr="00AF174C">
        <w:rPr>
          <w:rFonts w:ascii="楷体_GB2312" w:eastAsia="楷体_GB2312" w:hAnsi="Times New Roman" w:hint="eastAsia"/>
          <w:bCs/>
          <w:color w:val="000000"/>
          <w:sz w:val="28"/>
          <w:szCs w:val="28"/>
        </w:rPr>
        <w:t>总结评估学校“十二五”规划完成情况，强化衔接、求新求实、集思广益，扎实做好学校“十三五”规划编制工作，初步形成层次分明、内容全面、功能清晰、相互配套的规划体系。建立深化综合改革目标责任制，实施《上海财经大学综合改革方案（</w:t>
      </w:r>
      <w:r w:rsidRPr="00AF174C">
        <w:rPr>
          <w:rFonts w:ascii="楷体_GB2312" w:eastAsia="楷体_GB2312" w:hAnsi="Times New Roman"/>
          <w:bCs/>
          <w:color w:val="000000"/>
          <w:sz w:val="28"/>
          <w:szCs w:val="28"/>
        </w:rPr>
        <w:t>2014-2020</w:t>
      </w:r>
      <w:r w:rsidRPr="00AF174C">
        <w:rPr>
          <w:rFonts w:ascii="楷体_GB2312" w:eastAsia="楷体_GB2312" w:hAnsi="Times New Roman" w:hint="eastAsia"/>
          <w:bCs/>
          <w:color w:val="000000"/>
          <w:sz w:val="28"/>
          <w:szCs w:val="28"/>
        </w:rPr>
        <w:t>）》，聚焦</w:t>
      </w:r>
      <w:r w:rsidRPr="00AF174C">
        <w:rPr>
          <w:rFonts w:ascii="楷体_GB2312" w:eastAsia="楷体_GB2312" w:hAnsi="Times New Roman"/>
          <w:bCs/>
          <w:color w:val="000000"/>
          <w:sz w:val="28"/>
          <w:szCs w:val="28"/>
        </w:rPr>
        <w:t>20</w:t>
      </w:r>
      <w:r w:rsidRPr="00AF174C">
        <w:rPr>
          <w:rFonts w:ascii="楷体_GB2312" w:eastAsia="楷体_GB2312" w:hAnsi="Times New Roman" w:hint="eastAsia"/>
          <w:bCs/>
          <w:color w:val="000000"/>
          <w:sz w:val="28"/>
          <w:szCs w:val="28"/>
        </w:rPr>
        <w:t>项重点改革任务，绘就分步实施的路线图和时间表。学习领会国务院关于《统筹推进世界一流大学和一流学科建设总体方案》的精神实质，加强整体谋划，抓好贯彻落实，研究起草学校推进“双一流”建设方案。</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以章程建设为</w:t>
      </w:r>
      <w:r>
        <w:rPr>
          <w:rFonts w:ascii="楷体_GB2312" w:eastAsia="楷体_GB2312" w:hAnsi="Times New Roman" w:hint="eastAsia"/>
          <w:b/>
          <w:bCs/>
          <w:color w:val="000000"/>
          <w:sz w:val="28"/>
          <w:szCs w:val="28"/>
        </w:rPr>
        <w:t>引领</w:t>
      </w:r>
      <w:r w:rsidRPr="00AF174C">
        <w:rPr>
          <w:rFonts w:ascii="楷体_GB2312" w:eastAsia="楷体_GB2312" w:hAnsi="Times New Roman" w:hint="eastAsia"/>
          <w:b/>
          <w:bCs/>
          <w:color w:val="000000"/>
          <w:sz w:val="28"/>
          <w:szCs w:val="28"/>
        </w:rPr>
        <w:t>，建立健全现代大学制度体系。</w:t>
      </w:r>
      <w:r w:rsidRPr="00AF174C">
        <w:rPr>
          <w:rFonts w:ascii="楷体_GB2312" w:eastAsia="楷体_GB2312" w:hAnsi="Times New Roman" w:hint="eastAsia"/>
          <w:bCs/>
          <w:color w:val="000000"/>
          <w:sz w:val="28"/>
          <w:szCs w:val="28"/>
        </w:rPr>
        <w:t>《上海财经大学章程》获教育部核准，正式生效实施。加强教授治学，形成以学术委员会为核心的学术管理体系与组织架构。深化校院两级管理体制机制改革，近两年向学院下拨学科建设经费年均约</w:t>
      </w:r>
      <w:r w:rsidRPr="00AF174C">
        <w:rPr>
          <w:rFonts w:ascii="楷体_GB2312" w:eastAsia="楷体_GB2312" w:hAnsi="Times New Roman"/>
          <w:bCs/>
          <w:color w:val="000000"/>
          <w:sz w:val="28"/>
          <w:szCs w:val="28"/>
        </w:rPr>
        <w:t>1720</w:t>
      </w:r>
      <w:r w:rsidRPr="00AF174C">
        <w:rPr>
          <w:rFonts w:ascii="楷体_GB2312" w:eastAsia="楷体_GB2312" w:hAnsi="Times New Roman" w:hint="eastAsia"/>
          <w:bCs/>
          <w:color w:val="000000"/>
          <w:sz w:val="28"/>
          <w:szCs w:val="28"/>
        </w:rPr>
        <w:t>万元，有效调动学院探索教育教学改革的积极性。加大财务等重点领域信息公开力度，实行教代会</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教授代表列席两会制度，形成以信息公开网、校情通报会、校务公报、专项年报等为核心的常态机制。</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（七）关注民生，服务保障工作频现亮点</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以服务师生和保障教学、科研为中心，以加快校区改造建设为重点，不断改善师生员工的工作、学习和生活条件。</w:t>
      </w:r>
    </w:p>
    <w:p w:rsidR="003807C6"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坚持以师生为本，建立健全联系和服务师生长效机制。</w:t>
      </w:r>
      <w:r w:rsidRPr="00AF174C">
        <w:rPr>
          <w:rFonts w:ascii="楷体_GB2312" w:eastAsia="楷体_GB2312" w:hAnsi="Times New Roman"/>
          <w:bCs/>
          <w:color w:val="000000"/>
          <w:sz w:val="28"/>
          <w:szCs w:val="28"/>
        </w:rPr>
        <w:t>2013</w:t>
      </w:r>
      <w:r w:rsidRPr="00AF174C">
        <w:rPr>
          <w:rFonts w:ascii="楷体_GB2312" w:eastAsia="楷体_GB2312" w:hAnsi="Times New Roman" w:hint="eastAsia"/>
          <w:bCs/>
          <w:color w:val="000000"/>
          <w:sz w:val="28"/>
          <w:szCs w:val="28"/>
        </w:rPr>
        <w:t>年起推出服务师生年度实事项目，帮助师生解决学习、工作和生活中的实际困难和迫切需求。目前已累计完成</w:t>
      </w:r>
      <w:r w:rsidRPr="00AF174C">
        <w:rPr>
          <w:rFonts w:ascii="楷体_GB2312" w:eastAsia="楷体_GB2312" w:hAnsi="Times New Roman"/>
          <w:bCs/>
          <w:color w:val="000000"/>
          <w:sz w:val="28"/>
          <w:szCs w:val="28"/>
        </w:rPr>
        <w:t>34</w:t>
      </w:r>
      <w:r w:rsidRPr="00AF174C">
        <w:rPr>
          <w:rFonts w:ascii="楷体_GB2312" w:eastAsia="楷体_GB2312" w:hAnsi="Times New Roman" w:hint="eastAsia"/>
          <w:bCs/>
          <w:color w:val="000000"/>
          <w:sz w:val="28"/>
          <w:szCs w:val="28"/>
        </w:rPr>
        <w:t>项、在建</w:t>
      </w:r>
      <w:r w:rsidRPr="00AF174C">
        <w:rPr>
          <w:rFonts w:ascii="楷体_GB2312" w:eastAsia="楷体_GB2312" w:hAnsi="Times New Roman"/>
          <w:bCs/>
          <w:color w:val="000000"/>
          <w:sz w:val="28"/>
          <w:szCs w:val="28"/>
        </w:rPr>
        <w:t>10</w:t>
      </w:r>
      <w:r w:rsidRPr="00AF174C">
        <w:rPr>
          <w:rFonts w:ascii="楷体_GB2312" w:eastAsia="楷体_GB2312" w:hAnsi="Times New Roman" w:hint="eastAsia"/>
          <w:bCs/>
          <w:color w:val="000000"/>
          <w:sz w:val="28"/>
          <w:szCs w:val="28"/>
        </w:rPr>
        <w:t>项，涉及师生学习培训、生活服务和医疗配套等诸多方面，在广大师生和校友中引起良好反响。“十二五”以来，</w:t>
      </w:r>
      <w:r w:rsidRPr="006E5BD0">
        <w:rPr>
          <w:rFonts w:ascii="楷体_GB2312" w:eastAsia="楷体_GB2312" w:hAnsi="Times New Roman" w:hint="eastAsia"/>
          <w:bCs/>
          <w:color w:val="000000"/>
          <w:sz w:val="28"/>
          <w:szCs w:val="28"/>
        </w:rPr>
        <w:t>学生生活园区条件不断改善，实现学生浴室“入楼”全覆盖</w:t>
      </w:r>
      <w:r>
        <w:rPr>
          <w:rFonts w:ascii="楷体_GB2312" w:eastAsia="楷体_GB2312" w:hAnsi="Times New Roman" w:hint="eastAsia"/>
          <w:bCs/>
          <w:color w:val="000000"/>
          <w:sz w:val="28"/>
          <w:szCs w:val="28"/>
        </w:rPr>
        <w:t>、</w:t>
      </w:r>
      <w:r w:rsidRPr="006E5BD0">
        <w:rPr>
          <w:rFonts w:ascii="楷体_GB2312" w:eastAsia="楷体_GB2312" w:hAnsi="Times New Roman" w:hint="eastAsia"/>
          <w:bCs/>
          <w:color w:val="000000"/>
          <w:sz w:val="28"/>
          <w:szCs w:val="28"/>
        </w:rPr>
        <w:t>洗衣机和烘干机全覆盖、信息显示屏全覆盖。</w:t>
      </w:r>
      <w:r w:rsidRPr="006E5BD0">
        <w:rPr>
          <w:rFonts w:ascii="楷体_GB2312" w:eastAsia="楷体_GB2312" w:hAnsi="Times New Roman"/>
          <w:bCs/>
          <w:color w:val="000000"/>
          <w:sz w:val="28"/>
          <w:szCs w:val="28"/>
        </w:rPr>
        <w:t>6</w:t>
      </w:r>
      <w:r w:rsidRPr="006E5BD0">
        <w:rPr>
          <w:rFonts w:ascii="楷体_GB2312" w:eastAsia="楷体_GB2312" w:hAnsi="Times New Roman" w:hint="eastAsia"/>
          <w:bCs/>
          <w:color w:val="000000"/>
          <w:sz w:val="28"/>
          <w:szCs w:val="28"/>
        </w:rPr>
        <w:t>间“爱心小屋”投入使用，</w:t>
      </w:r>
      <w:r w:rsidRPr="006E5BD0">
        <w:rPr>
          <w:rFonts w:ascii="楷体_GB2312" w:eastAsia="楷体_GB2312" w:hAnsi="Times New Roman"/>
          <w:bCs/>
          <w:color w:val="000000"/>
          <w:sz w:val="28"/>
          <w:szCs w:val="28"/>
        </w:rPr>
        <w:t>9</w:t>
      </w:r>
      <w:r w:rsidRPr="006E5BD0">
        <w:rPr>
          <w:rFonts w:ascii="楷体_GB2312" w:eastAsia="楷体_GB2312" w:hAnsi="Times New Roman" w:hint="eastAsia"/>
          <w:bCs/>
          <w:color w:val="000000"/>
          <w:sz w:val="28"/>
          <w:szCs w:val="28"/>
        </w:rPr>
        <w:t>个自助云打印服务点（</w:t>
      </w:r>
      <w:r w:rsidRPr="006E5BD0">
        <w:rPr>
          <w:rFonts w:ascii="楷体_GB2312" w:eastAsia="楷体_GB2312" w:hAnsi="Times New Roman"/>
          <w:bCs/>
          <w:color w:val="000000"/>
          <w:sz w:val="28"/>
          <w:szCs w:val="28"/>
        </w:rPr>
        <w:t>14</w:t>
      </w:r>
      <w:r w:rsidRPr="006E5BD0">
        <w:rPr>
          <w:rFonts w:ascii="楷体_GB2312" w:eastAsia="楷体_GB2312" w:hAnsi="Times New Roman" w:hint="eastAsia"/>
          <w:bCs/>
          <w:color w:val="000000"/>
          <w:sz w:val="28"/>
          <w:szCs w:val="28"/>
        </w:rPr>
        <w:t>台设备）提供全天候服务，</w:t>
      </w:r>
      <w:r w:rsidRPr="006E5BD0">
        <w:rPr>
          <w:rFonts w:ascii="楷体_GB2312" w:eastAsia="楷体_GB2312" w:hAnsi="Times New Roman"/>
          <w:bCs/>
          <w:color w:val="000000"/>
          <w:sz w:val="28"/>
          <w:szCs w:val="28"/>
        </w:rPr>
        <w:t>12</w:t>
      </w:r>
      <w:r w:rsidRPr="006E5BD0">
        <w:rPr>
          <w:rFonts w:ascii="楷体_GB2312" w:eastAsia="楷体_GB2312" w:hAnsi="Times New Roman" w:hint="eastAsia"/>
          <w:bCs/>
          <w:color w:val="000000"/>
          <w:sz w:val="28"/>
          <w:szCs w:val="28"/>
        </w:rPr>
        <w:t>幢宿舍楼实现学生活动室改造。启动实施周转房制度，缓解新进教工的短期住房困难。</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加快校园建设步伐，打造优质育人环境。</w:t>
      </w:r>
      <w:r w:rsidRPr="00AF174C">
        <w:rPr>
          <w:rFonts w:ascii="楷体_GB2312" w:eastAsia="楷体_GB2312" w:hAnsi="Times New Roman" w:hint="eastAsia"/>
          <w:bCs/>
          <w:color w:val="000000"/>
          <w:sz w:val="28"/>
          <w:szCs w:val="28"/>
        </w:rPr>
        <w:t>校园面貌日新月异，武东校区地下停车场、大学生创业实训基地、武东校区学生食堂、主校区学生宿舍等重要项目相继完成并投入使用。加强和完善校园管理信息系统建设，构建“服务平台</w:t>
      </w:r>
      <w:r w:rsidRPr="00AF174C">
        <w:rPr>
          <w:rFonts w:ascii="楷体_GB2312" w:eastAsia="楷体_GB2312" w:hAnsi="Times New Roman"/>
          <w:bCs/>
          <w:color w:val="000000"/>
          <w:sz w:val="28"/>
          <w:szCs w:val="28"/>
        </w:rPr>
        <w:t>+</w:t>
      </w:r>
      <w:r w:rsidRPr="00AF174C">
        <w:rPr>
          <w:rFonts w:ascii="楷体_GB2312" w:eastAsia="楷体_GB2312" w:hAnsi="Times New Roman" w:hint="eastAsia"/>
          <w:bCs/>
          <w:color w:val="000000"/>
          <w:sz w:val="28"/>
          <w:szCs w:val="28"/>
        </w:rPr>
        <w:t>应用系统”的多层次应用服务体系，实现校园</w:t>
      </w:r>
      <w:r w:rsidRPr="00AF174C">
        <w:rPr>
          <w:rFonts w:ascii="楷体_GB2312" w:eastAsia="楷体_GB2312" w:hAnsi="Times New Roman"/>
          <w:bCs/>
          <w:color w:val="000000"/>
          <w:sz w:val="28"/>
          <w:szCs w:val="28"/>
        </w:rPr>
        <w:t>WiFi</w:t>
      </w:r>
      <w:r w:rsidRPr="00AF174C">
        <w:rPr>
          <w:rFonts w:ascii="楷体_GB2312" w:eastAsia="楷体_GB2312" w:hAnsi="Times New Roman" w:hint="eastAsia"/>
          <w:bCs/>
          <w:color w:val="000000"/>
          <w:sz w:val="28"/>
          <w:szCs w:val="28"/>
        </w:rPr>
        <w:t>全覆盖。加快图书资源建设，数字资源经费投入占比</w:t>
      </w:r>
      <w:r w:rsidRPr="00AF174C">
        <w:rPr>
          <w:rFonts w:ascii="楷体_GB2312" w:eastAsia="楷体_GB2312" w:hAnsi="Times New Roman"/>
          <w:bCs/>
          <w:color w:val="000000"/>
          <w:sz w:val="28"/>
          <w:szCs w:val="28"/>
        </w:rPr>
        <w:t>60%</w:t>
      </w:r>
      <w:r w:rsidRPr="00AF174C">
        <w:rPr>
          <w:rFonts w:ascii="楷体_GB2312" w:eastAsia="楷体_GB2312" w:hAnsi="Times New Roman" w:hint="eastAsia"/>
          <w:bCs/>
          <w:color w:val="000000"/>
          <w:sz w:val="28"/>
          <w:szCs w:val="28"/>
        </w:rPr>
        <w:t>左右。推进平安和谐校园建设，建立健全应急预案体系，获</w:t>
      </w:r>
      <w:r>
        <w:rPr>
          <w:rFonts w:ascii="楷体_GB2312" w:eastAsia="楷体_GB2312" w:hAnsi="Times New Roman" w:hint="eastAsia"/>
          <w:bCs/>
          <w:color w:val="000000"/>
          <w:sz w:val="28"/>
          <w:szCs w:val="28"/>
        </w:rPr>
        <w:t>全国第二届平安校园建设优秀成果一等奖</w:t>
      </w:r>
      <w:r w:rsidRPr="00AF174C">
        <w:rPr>
          <w:rFonts w:ascii="楷体_GB2312" w:eastAsia="楷体_GB2312" w:hAnsi="Times New Roman" w:hint="eastAsia"/>
          <w:bCs/>
          <w:color w:val="000000"/>
          <w:sz w:val="28"/>
          <w:szCs w:val="28"/>
        </w:rPr>
        <w:t>。</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以迎接百年校庆为契机，做强文化软实力。</w:t>
      </w:r>
      <w:r w:rsidRPr="00AF174C">
        <w:rPr>
          <w:rFonts w:ascii="楷体_GB2312" w:eastAsia="楷体_GB2312" w:hAnsi="Times New Roman" w:hint="eastAsia"/>
          <w:bCs/>
          <w:color w:val="000000"/>
          <w:sz w:val="28"/>
          <w:szCs w:val="28"/>
        </w:rPr>
        <w:t>成立学校文化建设委员会。推进实施上财赋、办学铭、校训释义、“上财精神”凝练、校园文化景观设计方案、上海财经大学图说史（</w:t>
      </w:r>
      <w:r w:rsidRPr="00AF174C">
        <w:rPr>
          <w:rFonts w:ascii="楷体_GB2312" w:eastAsia="楷体_GB2312" w:hAnsi="Times New Roman"/>
          <w:bCs/>
          <w:color w:val="000000"/>
          <w:sz w:val="28"/>
          <w:szCs w:val="28"/>
        </w:rPr>
        <w:t>1917-2017</w:t>
      </w:r>
      <w:r w:rsidRPr="00AF174C">
        <w:rPr>
          <w:rFonts w:ascii="楷体_GB2312" w:eastAsia="楷体_GB2312" w:hAnsi="Times New Roman" w:hint="eastAsia"/>
          <w:bCs/>
          <w:color w:val="000000"/>
          <w:sz w:val="28"/>
          <w:szCs w:val="28"/>
        </w:rPr>
        <w:t>）、校歌征集和青花艺术百瓶制作等百年校庆文化建设项目，筹建中国商学博物馆并取得阶段性成效，建成郭秉文塑像、图书馆一楼大厅浮雕、校训石等一系列校园文化景观。学校连续</w:t>
      </w:r>
      <w:r w:rsidRPr="00AF174C">
        <w:rPr>
          <w:rFonts w:ascii="楷体_GB2312" w:eastAsia="楷体_GB2312" w:hAnsi="Times New Roman"/>
          <w:bCs/>
          <w:color w:val="000000"/>
          <w:sz w:val="28"/>
          <w:szCs w:val="28"/>
        </w:rPr>
        <w:t>22</w:t>
      </w:r>
      <w:r w:rsidRPr="00AF174C">
        <w:rPr>
          <w:rFonts w:ascii="楷体_GB2312" w:eastAsia="楷体_GB2312" w:hAnsi="Times New Roman" w:hint="eastAsia"/>
          <w:bCs/>
          <w:color w:val="000000"/>
          <w:sz w:val="28"/>
          <w:szCs w:val="28"/>
        </w:rPr>
        <w:t>年、</w:t>
      </w:r>
      <w:r w:rsidRPr="00AF174C">
        <w:rPr>
          <w:rFonts w:ascii="楷体_GB2312" w:eastAsia="楷体_GB2312" w:hAnsi="Times New Roman"/>
          <w:bCs/>
          <w:color w:val="000000"/>
          <w:sz w:val="28"/>
          <w:szCs w:val="28"/>
        </w:rPr>
        <w:t>11</w:t>
      </w:r>
      <w:r w:rsidRPr="00AF174C">
        <w:rPr>
          <w:rFonts w:ascii="楷体_GB2312" w:eastAsia="楷体_GB2312" w:hAnsi="Times New Roman" w:hint="eastAsia"/>
          <w:bCs/>
          <w:color w:val="000000"/>
          <w:sz w:val="28"/>
          <w:szCs w:val="28"/>
        </w:rPr>
        <w:t>次获得上海市“文明单位”称号。</w:t>
      </w:r>
    </w:p>
    <w:p w:rsidR="003807C6" w:rsidRDefault="003807C6" w:rsidP="004859D1">
      <w:pPr>
        <w:snapToGrid w:val="0"/>
        <w:spacing w:beforeLines="50"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各位代表，五年来，学校各项事业蒸蒸日上、蓬勃发展，办学水平和社会声誉进一步提升。我们深知成绩来之不易，这得益于上级部门和社会各界的关心支持，更得益于全校师生员工的共同努力，以及历届领导班子打下的良好基础。在此，我代表学校，向历届老领导、全体师生员工及广大校友们，致以崇高的敬意和衷心的感谢！</w:t>
      </w:r>
    </w:p>
    <w:p w:rsidR="003807C6" w:rsidRPr="00AF174C" w:rsidRDefault="003807C6" w:rsidP="004859D1">
      <w:pPr>
        <w:snapToGrid w:val="0"/>
        <w:spacing w:beforeLines="50"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在为成绩感到振奋的同时，我们也要清楚地看到，学校</w:t>
      </w:r>
      <w:r>
        <w:rPr>
          <w:rFonts w:ascii="楷体_GB2312" w:eastAsia="楷体_GB2312" w:hAnsi="Times New Roman" w:hint="eastAsia"/>
          <w:bCs/>
          <w:color w:val="000000"/>
          <w:sz w:val="28"/>
          <w:szCs w:val="28"/>
        </w:rPr>
        <w:t>发展尚面临不少突出问题，主要有：第一，“小富即安”的思想依然存在，冲击世界一流学科，进而建成世界一流大学的共识有待凝聚，信心有待增强；第二，学院学科划分相对较细，打破行政壁垒，实现“学科群”协同建设、联动发展的体制机制创新亟需突破；第三，高水平</w:t>
      </w:r>
      <w:r w:rsidRPr="00C65185">
        <w:rPr>
          <w:rFonts w:ascii="楷体_GB2312" w:eastAsia="楷体_GB2312" w:hAnsi="Times New Roman" w:hint="eastAsia"/>
          <w:bCs/>
          <w:color w:val="000000"/>
          <w:sz w:val="28"/>
          <w:szCs w:val="28"/>
        </w:rPr>
        <w:t>领军人才和学科带头人仍非常缺乏，成为制约学科水平提升的关键问题</w:t>
      </w:r>
      <w:r>
        <w:rPr>
          <w:rFonts w:ascii="楷体_GB2312" w:eastAsia="楷体_GB2312" w:hAnsi="Times New Roman" w:hint="eastAsia"/>
          <w:bCs/>
          <w:color w:val="000000"/>
          <w:sz w:val="28"/>
          <w:szCs w:val="28"/>
        </w:rPr>
        <w:t>，“常任轨”及师资队伍一体化推进的相关制度仍需完善；第四，内部治理机制仍有待健全，尤其是校院两级管理体制改革尚需深化，</w:t>
      </w:r>
      <w:r w:rsidRPr="00024CBA">
        <w:rPr>
          <w:rFonts w:ascii="楷体_GB2312" w:eastAsia="楷体_GB2312" w:hAnsi="Times New Roman" w:hint="eastAsia"/>
          <w:bCs/>
          <w:color w:val="000000"/>
          <w:sz w:val="28"/>
          <w:szCs w:val="28"/>
        </w:rPr>
        <w:t>二级学院作为“准办学实体”的主动性和执行力有待进一步增强</w:t>
      </w:r>
      <w:r>
        <w:rPr>
          <w:rFonts w:ascii="楷体_GB2312" w:eastAsia="楷体_GB2312" w:hAnsi="Times New Roman" w:hint="eastAsia"/>
          <w:bCs/>
          <w:color w:val="000000"/>
          <w:sz w:val="28"/>
          <w:szCs w:val="28"/>
        </w:rPr>
        <w:t>；第五，</w:t>
      </w:r>
      <w:r w:rsidRPr="00F85487">
        <w:rPr>
          <w:rFonts w:ascii="楷体_GB2312" w:eastAsia="楷体_GB2312" w:hAnsi="Times New Roman" w:hint="eastAsia"/>
          <w:bCs/>
          <w:color w:val="000000"/>
          <w:sz w:val="28"/>
          <w:szCs w:val="28"/>
        </w:rPr>
        <w:t>资源获取能力尚不能满足学校事业发展需求，</w:t>
      </w:r>
      <w:r w:rsidRPr="00024CBA">
        <w:rPr>
          <w:rFonts w:ascii="楷体_GB2312" w:eastAsia="楷体_GB2312" w:hAnsi="Times New Roman" w:hint="eastAsia"/>
          <w:bCs/>
          <w:color w:val="000000"/>
          <w:sz w:val="28"/>
          <w:szCs w:val="28"/>
        </w:rPr>
        <w:t>资源利用的有效性</w:t>
      </w:r>
      <w:r>
        <w:rPr>
          <w:rFonts w:ascii="楷体_GB2312" w:eastAsia="楷体_GB2312" w:hAnsi="Times New Roman" w:hint="eastAsia"/>
          <w:bCs/>
          <w:color w:val="000000"/>
          <w:sz w:val="28"/>
          <w:szCs w:val="28"/>
        </w:rPr>
        <w:t>和</w:t>
      </w:r>
      <w:r w:rsidRPr="00024CBA">
        <w:rPr>
          <w:rFonts w:ascii="楷体_GB2312" w:eastAsia="楷体_GB2312" w:hAnsi="Times New Roman" w:hint="eastAsia"/>
          <w:bCs/>
          <w:color w:val="000000"/>
          <w:sz w:val="28"/>
          <w:szCs w:val="28"/>
        </w:rPr>
        <w:t>资源整合的科学性</w:t>
      </w:r>
      <w:r>
        <w:rPr>
          <w:rFonts w:ascii="楷体_GB2312" w:eastAsia="楷体_GB2312" w:hAnsi="Times New Roman" w:hint="eastAsia"/>
          <w:bCs/>
          <w:color w:val="000000"/>
          <w:sz w:val="28"/>
          <w:szCs w:val="28"/>
        </w:rPr>
        <w:t>也</w:t>
      </w:r>
      <w:r w:rsidRPr="00024CBA">
        <w:rPr>
          <w:rFonts w:ascii="楷体_GB2312" w:eastAsia="楷体_GB2312" w:hAnsi="Times New Roman" w:hint="eastAsia"/>
          <w:bCs/>
          <w:color w:val="000000"/>
          <w:sz w:val="28"/>
          <w:szCs w:val="28"/>
        </w:rPr>
        <w:t>有待进一步</w:t>
      </w:r>
      <w:r>
        <w:rPr>
          <w:rFonts w:ascii="楷体_GB2312" w:eastAsia="楷体_GB2312" w:hAnsi="Times New Roman" w:hint="eastAsia"/>
          <w:bCs/>
          <w:color w:val="000000"/>
          <w:sz w:val="28"/>
          <w:szCs w:val="28"/>
        </w:rPr>
        <w:t>提高</w:t>
      </w:r>
      <w:r w:rsidRPr="00F85487">
        <w:rPr>
          <w:rFonts w:ascii="楷体_GB2312" w:eastAsia="楷体_GB2312" w:hAnsi="Times New Roman" w:hint="eastAsia"/>
          <w:bCs/>
          <w:color w:val="000000"/>
          <w:sz w:val="28"/>
          <w:szCs w:val="28"/>
        </w:rPr>
        <w:t>。为此，站在新的历史起点上，我们必须直面问题、勇于</w:t>
      </w:r>
      <w:r w:rsidRPr="00AF174C">
        <w:rPr>
          <w:rFonts w:ascii="楷体_GB2312" w:eastAsia="楷体_GB2312" w:hAnsi="Times New Roman" w:hint="eastAsia"/>
          <w:bCs/>
          <w:color w:val="000000"/>
          <w:sz w:val="28"/>
          <w:szCs w:val="28"/>
        </w:rPr>
        <w:t>担当、对症下药、真抓实干，用改革的方式推进各项事业继续向前迈进</w:t>
      </w:r>
      <w:r>
        <w:rPr>
          <w:rFonts w:ascii="楷体_GB2312" w:eastAsia="楷体_GB2312" w:hAnsi="Times New Roman" w:hint="eastAsia"/>
          <w:bCs/>
          <w:color w:val="000000"/>
          <w:sz w:val="28"/>
          <w:szCs w:val="28"/>
        </w:rPr>
        <w:t>。</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smartTag w:uri="urn:schemas-microsoft-com:office:smarttags" w:element="chsdate">
        <w:smartTagPr>
          <w:attr w:name="IsROCDate" w:val="False"/>
          <w:attr w:name="IsLunarDate" w:val="False"/>
          <w:attr w:name="Day" w:val="24"/>
          <w:attr w:name="Month" w:val="10"/>
          <w:attr w:name="Year" w:val="2015"/>
        </w:smartTagPr>
        <w:r w:rsidRPr="00AF174C">
          <w:rPr>
            <w:rFonts w:ascii="楷体_GB2312" w:eastAsia="楷体_GB2312" w:hAnsi="Times New Roman"/>
            <w:bCs/>
            <w:color w:val="000000"/>
            <w:sz w:val="28"/>
            <w:szCs w:val="28"/>
          </w:rPr>
          <w:t>2015</w:t>
        </w:r>
        <w:r w:rsidRPr="00AF174C">
          <w:rPr>
            <w:rFonts w:ascii="楷体_GB2312" w:eastAsia="楷体_GB2312" w:hAnsi="Times New Roman" w:hint="eastAsia"/>
            <w:bCs/>
            <w:color w:val="000000"/>
            <w:sz w:val="28"/>
            <w:szCs w:val="28"/>
          </w:rPr>
          <w:t>年</w:t>
        </w:r>
        <w:r w:rsidRPr="00AF174C">
          <w:rPr>
            <w:rFonts w:ascii="楷体_GB2312" w:eastAsia="楷体_GB2312" w:hAnsi="Times New Roman"/>
            <w:bCs/>
            <w:color w:val="000000"/>
            <w:sz w:val="28"/>
            <w:szCs w:val="28"/>
          </w:rPr>
          <w:t>10</w:t>
        </w:r>
        <w:r w:rsidRPr="00AF174C">
          <w:rPr>
            <w:rFonts w:ascii="楷体_GB2312" w:eastAsia="楷体_GB2312" w:hAnsi="Times New Roman" w:hint="eastAsia"/>
            <w:bCs/>
            <w:color w:val="000000"/>
            <w:sz w:val="28"/>
            <w:szCs w:val="28"/>
          </w:rPr>
          <w:t>月</w:t>
        </w:r>
        <w:r w:rsidRPr="00AF174C">
          <w:rPr>
            <w:rFonts w:ascii="楷体_GB2312" w:eastAsia="楷体_GB2312" w:hAnsi="Times New Roman"/>
            <w:bCs/>
            <w:color w:val="000000"/>
            <w:sz w:val="28"/>
            <w:szCs w:val="28"/>
          </w:rPr>
          <w:t>24</w:t>
        </w:r>
        <w:r w:rsidRPr="00AF174C">
          <w:rPr>
            <w:rFonts w:ascii="楷体_GB2312" w:eastAsia="楷体_GB2312" w:hAnsi="Times New Roman" w:hint="eastAsia"/>
            <w:bCs/>
            <w:color w:val="000000"/>
            <w:sz w:val="28"/>
            <w:szCs w:val="28"/>
          </w:rPr>
          <w:t>日</w:t>
        </w:r>
      </w:smartTag>
      <w:r w:rsidRPr="00AF174C">
        <w:rPr>
          <w:rFonts w:ascii="楷体_GB2312" w:eastAsia="楷体_GB2312" w:hAnsi="Times New Roman" w:hint="eastAsia"/>
          <w:bCs/>
          <w:color w:val="000000"/>
          <w:sz w:val="28"/>
          <w:szCs w:val="28"/>
        </w:rPr>
        <w:t>，国务院印发《统筹推进世界一流大学和一流学科建设总体方案》，致力于加快建成一批世界一流大学和一流学科（简称“双一流”）。“双一流”建设，是国家实现高等教育大国到高等教育强国跨越的重大战略决策</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是“</w:t>
      </w:r>
      <w:r w:rsidRPr="00AF174C">
        <w:rPr>
          <w:rFonts w:ascii="楷体_GB2312" w:eastAsia="楷体_GB2312" w:hAnsi="Times New Roman"/>
          <w:bCs/>
          <w:color w:val="000000"/>
          <w:sz w:val="28"/>
          <w:szCs w:val="28"/>
        </w:rPr>
        <w:t>211</w:t>
      </w:r>
      <w:r w:rsidRPr="00AF174C">
        <w:rPr>
          <w:rFonts w:ascii="楷体_GB2312" w:eastAsia="楷体_GB2312" w:hAnsi="Times New Roman" w:hint="eastAsia"/>
          <w:bCs/>
          <w:color w:val="000000"/>
          <w:sz w:val="28"/>
          <w:szCs w:val="28"/>
        </w:rPr>
        <w:t>”工程、“</w:t>
      </w:r>
      <w:r w:rsidRPr="00AF174C">
        <w:rPr>
          <w:rFonts w:ascii="楷体_GB2312" w:eastAsia="楷体_GB2312" w:hAnsi="Times New Roman"/>
          <w:bCs/>
          <w:color w:val="000000"/>
          <w:sz w:val="28"/>
          <w:szCs w:val="28"/>
        </w:rPr>
        <w:t>985</w:t>
      </w:r>
      <w:r w:rsidRPr="00AF174C">
        <w:rPr>
          <w:rFonts w:ascii="楷体_GB2312" w:eastAsia="楷体_GB2312" w:hAnsi="Times New Roman" w:hint="eastAsia"/>
          <w:bCs/>
          <w:color w:val="000000"/>
          <w:sz w:val="28"/>
          <w:szCs w:val="28"/>
        </w:rPr>
        <w:t>”工程及“优势学科平台”的集成提高</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是新时期高校深化改革、内涵发展、提高质量的总体要求</w:t>
      </w:r>
      <w:r>
        <w:rPr>
          <w:rFonts w:ascii="楷体_GB2312" w:eastAsia="楷体_GB2312" w:hAnsi="Times New Roman" w:hint="eastAsia"/>
          <w:bCs/>
          <w:color w:val="000000"/>
          <w:sz w:val="28"/>
          <w:szCs w:val="28"/>
        </w:rPr>
        <w:t>，也</w:t>
      </w:r>
      <w:r w:rsidRPr="00AF174C">
        <w:rPr>
          <w:rFonts w:ascii="楷体_GB2312" w:eastAsia="楷体_GB2312" w:hAnsi="Times New Roman" w:hint="eastAsia"/>
          <w:bCs/>
          <w:color w:val="000000"/>
          <w:sz w:val="28"/>
          <w:szCs w:val="28"/>
        </w:rPr>
        <w:t>是国家高等教育资源配置方式的</w:t>
      </w:r>
      <w:r>
        <w:rPr>
          <w:rFonts w:ascii="楷体_GB2312" w:eastAsia="楷体_GB2312" w:hAnsi="Times New Roman" w:hint="eastAsia"/>
          <w:bCs/>
          <w:color w:val="000000"/>
          <w:sz w:val="28"/>
          <w:szCs w:val="28"/>
        </w:rPr>
        <w:t>重要</w:t>
      </w:r>
      <w:r w:rsidRPr="00AF174C">
        <w:rPr>
          <w:rFonts w:ascii="楷体_GB2312" w:eastAsia="楷体_GB2312" w:hAnsi="Times New Roman" w:hint="eastAsia"/>
          <w:bCs/>
          <w:color w:val="000000"/>
          <w:sz w:val="28"/>
          <w:szCs w:val="28"/>
        </w:rPr>
        <w:t>转变。对于我校而言，这一战略部署意味着新的挑战，同时也蕴含着前所未有的重大机遇。</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为此，我们要</w:t>
      </w:r>
      <w:r>
        <w:rPr>
          <w:rFonts w:ascii="楷体_GB2312" w:eastAsia="楷体_GB2312" w:hAnsi="Times New Roman" w:hint="eastAsia"/>
          <w:bCs/>
          <w:color w:val="000000"/>
          <w:sz w:val="28"/>
          <w:szCs w:val="28"/>
        </w:rPr>
        <w:t>凝集共识、树立信心，</w:t>
      </w:r>
      <w:r w:rsidRPr="00AF174C">
        <w:rPr>
          <w:rFonts w:ascii="楷体_GB2312" w:eastAsia="楷体_GB2312" w:hAnsi="Times New Roman" w:hint="eastAsia"/>
          <w:bCs/>
          <w:color w:val="000000"/>
          <w:sz w:val="28"/>
          <w:szCs w:val="28"/>
        </w:rPr>
        <w:t>准确把握“五个关系”，切实增强“五个意识”，进而更好地谋划和推进“双一流”建设。一是准确把握一流学科与一流大学的关系，增强主体意识；二是准确理解国家目标与学校目标的关系，增强一流意识；三是准确理解“双一流”与“</w:t>
      </w:r>
      <w:r w:rsidRPr="00AF174C">
        <w:rPr>
          <w:rFonts w:ascii="楷体_GB2312" w:eastAsia="楷体_GB2312" w:hAnsi="Times New Roman"/>
          <w:bCs/>
          <w:color w:val="000000"/>
          <w:sz w:val="28"/>
          <w:szCs w:val="28"/>
        </w:rPr>
        <w:t>211</w:t>
      </w:r>
      <w:r w:rsidRPr="00AF174C">
        <w:rPr>
          <w:rFonts w:ascii="楷体_GB2312" w:eastAsia="楷体_GB2312" w:hAnsi="Times New Roman" w:hint="eastAsia"/>
          <w:bCs/>
          <w:color w:val="000000"/>
          <w:sz w:val="28"/>
          <w:szCs w:val="28"/>
        </w:rPr>
        <w:t>”、“</w:t>
      </w:r>
      <w:r w:rsidRPr="00AF174C">
        <w:rPr>
          <w:rFonts w:ascii="楷体_GB2312" w:eastAsia="楷体_GB2312" w:hAnsi="Times New Roman"/>
          <w:bCs/>
          <w:color w:val="000000"/>
          <w:sz w:val="28"/>
          <w:szCs w:val="28"/>
        </w:rPr>
        <w:t>985</w:t>
      </w:r>
      <w:r w:rsidRPr="00AF174C">
        <w:rPr>
          <w:rFonts w:ascii="楷体_GB2312" w:eastAsia="楷体_GB2312" w:hAnsi="Times New Roman" w:hint="eastAsia"/>
          <w:bCs/>
          <w:color w:val="000000"/>
          <w:sz w:val="28"/>
          <w:szCs w:val="28"/>
        </w:rPr>
        <w:t>”的关系，增强机遇意识；四是准确理解建设目标与建设过程的关系，增强竞争意识；五是准确理解“双一流”建设与“高峰高原”建设、学校综合改革方案、“十三五”规划的关系，增强统筹意识。</w:t>
      </w:r>
    </w:p>
    <w:p w:rsidR="003807C6" w:rsidRPr="00AF174C" w:rsidRDefault="003807C6" w:rsidP="00CC6232">
      <w:pPr>
        <w:snapToGrid w:val="0"/>
        <w:spacing w:beforeLines="100" w:afterLines="100"/>
        <w:jc w:val="center"/>
        <w:outlineLvl w:val="0"/>
        <w:rPr>
          <w:rFonts w:ascii="黑体" w:eastAsia="黑体" w:hAnsi="Times New Roman"/>
          <w:b/>
          <w:bCs/>
          <w:color w:val="000000"/>
          <w:sz w:val="30"/>
          <w:szCs w:val="30"/>
        </w:rPr>
      </w:pPr>
      <w:r w:rsidRPr="00AF174C">
        <w:rPr>
          <w:rFonts w:ascii="黑体" w:eastAsia="黑体" w:hAnsi="Times New Roman" w:hint="eastAsia"/>
          <w:b/>
          <w:bCs/>
          <w:color w:val="000000"/>
          <w:sz w:val="30"/>
          <w:szCs w:val="30"/>
        </w:rPr>
        <w:t>二、</w:t>
      </w:r>
      <w:r w:rsidRPr="00AF174C">
        <w:rPr>
          <w:rFonts w:ascii="黑体" w:eastAsia="黑体" w:hAnsi="Times New Roman"/>
          <w:b/>
          <w:bCs/>
          <w:color w:val="000000"/>
          <w:sz w:val="30"/>
          <w:szCs w:val="30"/>
        </w:rPr>
        <w:t>2016</w:t>
      </w:r>
      <w:r w:rsidRPr="00AF174C">
        <w:rPr>
          <w:rFonts w:ascii="黑体" w:eastAsia="黑体" w:hAnsi="Times New Roman" w:hint="eastAsia"/>
          <w:b/>
          <w:bCs/>
          <w:color w:val="000000"/>
          <w:sz w:val="30"/>
          <w:szCs w:val="30"/>
        </w:rPr>
        <w:t>年学校主要工作</w:t>
      </w:r>
    </w:p>
    <w:p w:rsidR="003807C6" w:rsidRPr="00FC6616" w:rsidRDefault="003807C6" w:rsidP="004859D1">
      <w:pPr>
        <w:snapToGrid w:val="0"/>
        <w:spacing w:line="360" w:lineRule="auto"/>
        <w:ind w:firstLineChars="200" w:firstLine="31680"/>
        <w:rPr>
          <w:rFonts w:ascii="楷体_GB2312" w:eastAsia="楷体_GB2312" w:hAnsi="Times New Roman"/>
          <w:b/>
          <w:bCs/>
          <w:color w:val="000000"/>
          <w:sz w:val="28"/>
          <w:szCs w:val="28"/>
        </w:rPr>
      </w:pPr>
      <w:r w:rsidRPr="004E4956">
        <w:rPr>
          <w:rFonts w:ascii="楷体_GB2312" w:eastAsia="楷体_GB2312" w:hAnsi="Times New Roman" w:hint="eastAsia"/>
          <w:bCs/>
          <w:color w:val="000000"/>
          <w:sz w:val="28"/>
          <w:szCs w:val="28"/>
        </w:rPr>
        <w:t>“十三五”时期学校改革发展的指导思想是：</w:t>
      </w:r>
      <w:r w:rsidRPr="00FC6616">
        <w:rPr>
          <w:rFonts w:ascii="楷体_GB2312" w:eastAsia="楷体_GB2312" w:hAnsi="Times New Roman" w:hint="eastAsia"/>
          <w:b/>
          <w:bCs/>
          <w:color w:val="000000"/>
          <w:sz w:val="28"/>
          <w:szCs w:val="28"/>
        </w:rPr>
        <w:t>聚焦国家“双一流”战略，以一流学科牵引一流大学建设，以“办特色、上水平”为主线，以人才培养为根本，以学科建设为龙头，以改革创新为动力，</w:t>
      </w:r>
      <w:r>
        <w:rPr>
          <w:rFonts w:ascii="楷体_GB2312" w:eastAsia="楷体_GB2312" w:hAnsi="Times New Roman" w:hint="eastAsia"/>
          <w:b/>
          <w:bCs/>
          <w:color w:val="000000"/>
          <w:sz w:val="28"/>
          <w:szCs w:val="28"/>
        </w:rPr>
        <w:t>坚持内涵发展，</w:t>
      </w:r>
      <w:r w:rsidRPr="00FC6616">
        <w:rPr>
          <w:rFonts w:ascii="楷体_GB2312" w:eastAsia="楷体_GB2312" w:hAnsi="Times New Roman" w:hint="eastAsia"/>
          <w:b/>
          <w:bCs/>
          <w:color w:val="000000"/>
          <w:sz w:val="28"/>
          <w:szCs w:val="28"/>
        </w:rPr>
        <w:t>全面提升现代化、国际化和信息化办学水平。</w:t>
      </w:r>
      <w:r>
        <w:rPr>
          <w:rFonts w:ascii="楷体_GB2312" w:eastAsia="楷体_GB2312" w:hAnsi="Times New Roman" w:hint="eastAsia"/>
          <w:bCs/>
          <w:color w:val="000000"/>
          <w:sz w:val="28"/>
          <w:szCs w:val="28"/>
        </w:rPr>
        <w:t>“十三五”时期学校改革</w:t>
      </w:r>
      <w:r w:rsidRPr="00A95042">
        <w:rPr>
          <w:rFonts w:ascii="楷体_GB2312" w:eastAsia="楷体_GB2312" w:hAnsi="Times New Roman" w:hint="eastAsia"/>
          <w:bCs/>
          <w:color w:val="000000"/>
          <w:sz w:val="28"/>
          <w:szCs w:val="28"/>
        </w:rPr>
        <w:t>发展</w:t>
      </w:r>
      <w:r>
        <w:rPr>
          <w:rFonts w:ascii="楷体_GB2312" w:eastAsia="楷体_GB2312" w:hAnsi="Times New Roman" w:hint="eastAsia"/>
          <w:bCs/>
          <w:color w:val="000000"/>
          <w:sz w:val="28"/>
          <w:szCs w:val="28"/>
        </w:rPr>
        <w:t>的总体</w:t>
      </w:r>
      <w:r w:rsidRPr="00A95042">
        <w:rPr>
          <w:rFonts w:ascii="楷体_GB2312" w:eastAsia="楷体_GB2312" w:hAnsi="Times New Roman" w:hint="eastAsia"/>
          <w:bCs/>
          <w:color w:val="000000"/>
          <w:sz w:val="28"/>
          <w:szCs w:val="28"/>
        </w:rPr>
        <w:t>目标是：</w:t>
      </w:r>
      <w:r w:rsidRPr="00FC6616">
        <w:rPr>
          <w:rFonts w:ascii="楷体_GB2312" w:eastAsia="楷体_GB2312" w:hAnsi="Times New Roman" w:hint="eastAsia"/>
          <w:b/>
          <w:bCs/>
          <w:color w:val="000000"/>
          <w:sz w:val="28"/>
          <w:szCs w:val="28"/>
        </w:rPr>
        <w:t>到</w:t>
      </w:r>
      <w:r w:rsidRPr="00FC6616">
        <w:rPr>
          <w:rFonts w:ascii="楷体_GB2312" w:eastAsia="楷体_GB2312" w:hAnsi="Times New Roman"/>
          <w:b/>
          <w:bCs/>
          <w:color w:val="000000"/>
          <w:sz w:val="28"/>
          <w:szCs w:val="28"/>
        </w:rPr>
        <w:t>2020</w:t>
      </w:r>
      <w:r w:rsidRPr="00FC6616">
        <w:rPr>
          <w:rFonts w:ascii="楷体_GB2312" w:eastAsia="楷体_GB2312" w:hAnsi="Times New Roman" w:hint="eastAsia"/>
          <w:b/>
          <w:bCs/>
          <w:color w:val="000000"/>
          <w:sz w:val="28"/>
          <w:szCs w:val="28"/>
        </w:rPr>
        <w:t>年，学校综合实力居于国内高校前列，核心竞争力显著增强，国际影响力明显提升，初步建成国际知名的具有鲜明财经特色的高水平研究型大学。</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bCs/>
          <w:color w:val="000000"/>
          <w:sz w:val="28"/>
          <w:szCs w:val="28"/>
        </w:rPr>
        <w:t>2016</w:t>
      </w:r>
      <w:r w:rsidRPr="00AF174C">
        <w:rPr>
          <w:rFonts w:ascii="楷体_GB2312" w:eastAsia="楷体_GB2312" w:hAnsi="Times New Roman" w:hint="eastAsia"/>
          <w:bCs/>
          <w:color w:val="000000"/>
          <w:sz w:val="28"/>
          <w:szCs w:val="28"/>
        </w:rPr>
        <w:t>年是“十三五”开局之年，也是全面深化综合改革、谋划推进“双一流”建设的关键之年。我们要按照学校“十三五”规划和综合改革方案的总体部署，重点做好以下工作：</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（一）加强顶层设计和战略规划</w:t>
      </w:r>
    </w:p>
    <w:p w:rsidR="003807C6" w:rsidRPr="00AF174C" w:rsidRDefault="003807C6" w:rsidP="004859D1">
      <w:pPr>
        <w:snapToGrid w:val="0"/>
        <w:spacing w:line="360" w:lineRule="auto"/>
        <w:ind w:firstLineChars="200" w:firstLine="31680"/>
        <w:rPr>
          <w:rFonts w:ascii="楷体_GB2312" w:eastAsia="楷体_GB2312" w:hAnsi="Times New Roman"/>
          <w:b/>
          <w:bCs/>
          <w:color w:val="000000"/>
          <w:sz w:val="28"/>
          <w:szCs w:val="28"/>
        </w:rPr>
      </w:pPr>
      <w:r>
        <w:rPr>
          <w:rFonts w:ascii="楷体_GB2312" w:eastAsia="楷体_GB2312" w:hAnsi="Times New Roman" w:hint="eastAsia"/>
          <w:b/>
          <w:bCs/>
          <w:color w:val="000000"/>
          <w:sz w:val="28"/>
          <w:szCs w:val="28"/>
        </w:rPr>
        <w:t>统筹</w:t>
      </w:r>
      <w:r w:rsidRPr="00AF174C">
        <w:rPr>
          <w:rFonts w:ascii="楷体_GB2312" w:eastAsia="楷体_GB2312" w:hAnsi="Times New Roman" w:hint="eastAsia"/>
          <w:b/>
          <w:bCs/>
          <w:color w:val="000000"/>
          <w:sz w:val="28"/>
          <w:szCs w:val="28"/>
        </w:rPr>
        <w:t>推进“十三五”规划、综合改革和“双一流”建设。</w:t>
      </w:r>
      <w:r w:rsidRPr="00AF174C">
        <w:rPr>
          <w:rFonts w:ascii="楷体_GB2312" w:eastAsia="楷体_GB2312" w:hAnsi="Times New Roman" w:hint="eastAsia"/>
          <w:bCs/>
          <w:color w:val="000000"/>
          <w:sz w:val="28"/>
          <w:szCs w:val="28"/>
        </w:rPr>
        <w:t>召开全校“双一流”建设部署工作会议，研究制定推进“双一流”建设方案。完善学校“十三五”规划、各专项规划及工作方案，做好规划发布后的宣传与解读，推进规划实施。完善综合改革分解实施方案，分步落实综合改革任务。</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（二</w:t>
      </w:r>
      <w:r>
        <w:rPr>
          <w:rFonts w:ascii="黑体" w:eastAsia="黑体" w:hAnsi="Times New Roman" w:hint="eastAsia"/>
          <w:b/>
          <w:bCs/>
          <w:color w:val="000000"/>
          <w:sz w:val="28"/>
          <w:szCs w:val="28"/>
        </w:rPr>
        <w:t>）深化</w:t>
      </w:r>
      <w:r w:rsidRPr="00AF174C">
        <w:rPr>
          <w:rFonts w:ascii="黑体" w:eastAsia="黑体" w:hAnsi="Times New Roman" w:hint="eastAsia"/>
          <w:b/>
          <w:bCs/>
          <w:color w:val="000000"/>
          <w:sz w:val="28"/>
          <w:szCs w:val="28"/>
        </w:rPr>
        <w:t>教育教学改革</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坚持德智体美诸育融合，培养学生综合素养。</w:t>
      </w:r>
      <w:r w:rsidRPr="00AF174C">
        <w:rPr>
          <w:rFonts w:ascii="楷体_GB2312" w:eastAsia="楷体_GB2312" w:hAnsi="Times New Roman" w:hint="eastAsia"/>
          <w:bCs/>
          <w:color w:val="000000"/>
          <w:sz w:val="28"/>
          <w:szCs w:val="28"/>
        </w:rPr>
        <w:t>深化思政课教学改革，挖掘专业课程德育功能，改进网络思政教育，把培育践行社会主义核心价值观贯穿育人全过程。加强辅导员队伍专业化建设，提升教师的育德意识及能力。开展阳光体育运动，探索艺术教育课程与基地实践项目运作新模式。</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深化本科人才培养模式改革。</w:t>
      </w:r>
      <w:r w:rsidRPr="00AF174C">
        <w:rPr>
          <w:rFonts w:ascii="楷体_GB2312" w:eastAsia="楷体_GB2312" w:hAnsi="Times New Roman" w:hint="eastAsia"/>
          <w:bCs/>
          <w:color w:val="000000"/>
          <w:sz w:val="28"/>
          <w:szCs w:val="28"/>
        </w:rPr>
        <w:t>高标准、高质量抓好通识课程建设，重点建设</w:t>
      </w:r>
      <w:r w:rsidRPr="00AF174C">
        <w:rPr>
          <w:rFonts w:ascii="楷体_GB2312" w:eastAsia="楷体_GB2312" w:hAnsi="Times New Roman"/>
          <w:bCs/>
          <w:color w:val="000000"/>
          <w:sz w:val="28"/>
          <w:szCs w:val="28"/>
        </w:rPr>
        <w:t>20</w:t>
      </w:r>
      <w:r w:rsidRPr="00AF174C">
        <w:rPr>
          <w:rFonts w:ascii="楷体_GB2312" w:eastAsia="楷体_GB2312" w:hAnsi="Times New Roman" w:hint="eastAsia"/>
          <w:bCs/>
          <w:color w:val="000000"/>
          <w:sz w:val="28"/>
          <w:szCs w:val="28"/>
        </w:rPr>
        <w:t>门通识课程，引进</w:t>
      </w:r>
      <w:r w:rsidRPr="00AF174C">
        <w:rPr>
          <w:rFonts w:ascii="楷体_GB2312" w:eastAsia="楷体_GB2312" w:hAnsi="Times New Roman"/>
          <w:bCs/>
          <w:color w:val="000000"/>
          <w:sz w:val="28"/>
          <w:szCs w:val="28"/>
        </w:rPr>
        <w:t>10</w:t>
      </w:r>
      <w:r w:rsidRPr="00AF174C">
        <w:rPr>
          <w:rFonts w:ascii="楷体_GB2312" w:eastAsia="楷体_GB2312" w:hAnsi="Times New Roman" w:hint="eastAsia"/>
          <w:bCs/>
          <w:color w:val="000000"/>
          <w:sz w:val="28"/>
          <w:szCs w:val="28"/>
        </w:rPr>
        <w:t>门校外通识课程。全面总结实验班建设成效，探索提升本科学术型人才培养质量。改进完善研讨类课程，提高课程实施水平和教学质量。研究修订教学成果奖励办法，建立健全教学成果奖评审管理长效机制。</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深入实施研究生教育六大推进计划。</w:t>
      </w:r>
      <w:r w:rsidRPr="00AF174C">
        <w:rPr>
          <w:rFonts w:ascii="楷体_GB2312" w:eastAsia="楷体_GB2312" w:hAnsi="Times New Roman" w:hint="eastAsia"/>
          <w:bCs/>
          <w:color w:val="000000"/>
          <w:sz w:val="28"/>
          <w:szCs w:val="28"/>
        </w:rPr>
        <w:t>优化课程体系，探索研究生评教体系改革。创新博士生培养机制，鼓励博士生积极参与国内外高水平的学术交流活动，提高博士生培养质量。做好商学教育认证和再认证工作，推进</w:t>
      </w:r>
      <w:r w:rsidRPr="00AF174C">
        <w:rPr>
          <w:rFonts w:ascii="楷体_GB2312" w:eastAsia="楷体_GB2312" w:hAnsi="Times New Roman"/>
          <w:bCs/>
          <w:color w:val="000000"/>
          <w:sz w:val="28"/>
          <w:szCs w:val="28"/>
        </w:rPr>
        <w:t>MPA</w:t>
      </w:r>
      <w:r w:rsidRPr="00AF174C">
        <w:rPr>
          <w:rFonts w:ascii="楷体_GB2312" w:eastAsia="楷体_GB2312" w:hAnsi="Times New Roman" w:hint="eastAsia"/>
          <w:bCs/>
          <w:color w:val="000000"/>
          <w:sz w:val="28"/>
          <w:szCs w:val="28"/>
        </w:rPr>
        <w:t>国际认证。完善研究生教育两级管理体制，做到权责分明、规范管理。</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提升人才培养国际化水平。</w:t>
      </w:r>
      <w:r w:rsidRPr="00AF174C">
        <w:rPr>
          <w:rFonts w:ascii="楷体_GB2312" w:eastAsia="楷体_GB2312" w:hAnsi="Times New Roman" w:hint="eastAsia"/>
          <w:bCs/>
          <w:color w:val="000000"/>
          <w:sz w:val="28"/>
          <w:szCs w:val="28"/>
        </w:rPr>
        <w:t>落实学校人才培养国际化工作会议精神。优先选取若干专业引入国际标准，探索建立与国际深度接轨的人才培养模式。加强与世界一流大学和学术机构的实质性合作。培育国际化的科研创新团队。加强国际化示范学院建设，继续推进国际组织人才培养，在抓好首批生源培养的基础上，启动第二批基地班项目，并力争拓展一个专业。</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深化创新创业教育改革。</w:t>
      </w:r>
      <w:r w:rsidRPr="00DA2AB2">
        <w:rPr>
          <w:rFonts w:ascii="楷体_GB2312" w:eastAsia="楷体_GB2312" w:hAnsi="Times New Roman" w:hint="eastAsia"/>
          <w:bCs/>
          <w:color w:val="000000"/>
          <w:sz w:val="28"/>
          <w:szCs w:val="28"/>
        </w:rPr>
        <w:t>加强创新创业课程体系和教材建设</w:t>
      </w:r>
      <w:r w:rsidRPr="00AF174C">
        <w:rPr>
          <w:rFonts w:ascii="楷体_GB2312" w:eastAsia="楷体_GB2312" w:hAnsi="Times New Roman" w:hint="eastAsia"/>
          <w:bCs/>
          <w:color w:val="000000"/>
          <w:sz w:val="28"/>
          <w:szCs w:val="28"/>
        </w:rPr>
        <w:t>，推进匡时班</w:t>
      </w:r>
      <w:r w:rsidRPr="00E6247D">
        <w:rPr>
          <w:rFonts w:ascii="楷体_GB2312" w:eastAsia="楷体_GB2312" w:hAnsi="Times New Roman" w:hint="eastAsia"/>
          <w:bCs/>
          <w:color w:val="000000"/>
          <w:sz w:val="28"/>
          <w:szCs w:val="28"/>
        </w:rPr>
        <w:t>和创新型人才培养</w:t>
      </w:r>
      <w:r w:rsidRPr="00AF174C">
        <w:rPr>
          <w:rFonts w:ascii="楷体_GB2312" w:eastAsia="楷体_GB2312" w:hAnsi="Times New Roman" w:hint="eastAsia"/>
          <w:bCs/>
          <w:color w:val="000000"/>
          <w:sz w:val="28"/>
          <w:szCs w:val="28"/>
        </w:rPr>
        <w:t>计划，建设高水平创业师资团队。打造多层次创新创业教育平台，组织承办全国财经院校创新创业大赛。完善实验中心组织架构与工作机制，完成</w:t>
      </w:r>
      <w:r w:rsidRPr="00AF174C">
        <w:rPr>
          <w:rFonts w:ascii="楷体_GB2312" w:eastAsia="楷体_GB2312" w:hAnsi="Times New Roman"/>
          <w:bCs/>
          <w:color w:val="000000"/>
          <w:sz w:val="28"/>
          <w:szCs w:val="28"/>
        </w:rPr>
        <w:t>2016</w:t>
      </w:r>
      <w:r w:rsidRPr="00AF174C">
        <w:rPr>
          <w:rFonts w:ascii="楷体_GB2312" w:eastAsia="楷体_GB2312" w:hAnsi="Times New Roman" w:hint="eastAsia"/>
          <w:bCs/>
          <w:color w:val="000000"/>
          <w:sz w:val="28"/>
          <w:szCs w:val="28"/>
        </w:rPr>
        <w:t>年国家级虚拟仿真实验中心申报。</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加强留学生教育、国际教育与继续教育。</w:t>
      </w:r>
      <w:r w:rsidRPr="00AF174C">
        <w:rPr>
          <w:rFonts w:ascii="楷体_GB2312" w:eastAsia="楷体_GB2312" w:hAnsi="Times New Roman" w:hint="eastAsia"/>
          <w:bCs/>
          <w:color w:val="000000"/>
          <w:sz w:val="28"/>
          <w:szCs w:val="28"/>
        </w:rPr>
        <w:t>以“一带一路”沿线国青年学生和政府官员等为培养对象，开发全英文高端硕士和短期培训项目。尽快落实第三家孔子学院布点工作。夯实国际教育主体业务，探索新的业务领域和模式。研究论证继续教育学历教育规模。健全非学历教育管理体制和制度体系。</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（三）增强学科科研综合实力</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打造具有国际竞争力的一流财经学科。</w:t>
      </w:r>
      <w:r w:rsidRPr="00AF174C">
        <w:rPr>
          <w:rFonts w:ascii="楷体_GB2312" w:eastAsia="楷体_GB2312" w:hAnsi="Times New Roman" w:hint="eastAsia"/>
          <w:bCs/>
          <w:color w:val="000000"/>
          <w:sz w:val="28"/>
          <w:szCs w:val="28"/>
        </w:rPr>
        <w:t>建立健全学科优化与动态调整长效机制。继续做好上海高校高峰高原学科建设和申报工作。完善学科经费投入机制，开展学科竞争计划实施中期检查。健全学科发展评估机制，发布学科发展年度评估报告。做好第四轮学科水平评估和专业学位排名准备工作。</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实施科研创新平台优化计划。</w:t>
      </w:r>
      <w:r w:rsidRPr="00AF174C">
        <w:rPr>
          <w:rFonts w:ascii="楷体_GB2312" w:eastAsia="楷体_GB2312" w:hAnsi="Times New Roman" w:hint="eastAsia"/>
          <w:bCs/>
          <w:color w:val="000000"/>
          <w:sz w:val="28"/>
          <w:szCs w:val="28"/>
        </w:rPr>
        <w:t>推进三个</w:t>
      </w:r>
      <w:r w:rsidRPr="00AF174C">
        <w:rPr>
          <w:rFonts w:ascii="楷体_GB2312" w:eastAsia="楷体_GB2312" w:hAnsi="Times New Roman"/>
          <w:bCs/>
          <w:color w:val="000000"/>
          <w:sz w:val="28"/>
          <w:szCs w:val="28"/>
        </w:rPr>
        <w:t>2011</w:t>
      </w:r>
      <w:r w:rsidRPr="00AF174C">
        <w:rPr>
          <w:rFonts w:ascii="楷体_GB2312" w:eastAsia="楷体_GB2312" w:hAnsi="Times New Roman" w:hint="eastAsia"/>
          <w:bCs/>
          <w:color w:val="000000"/>
          <w:sz w:val="28"/>
          <w:szCs w:val="28"/>
        </w:rPr>
        <w:t>协同创新中心建设，做好新一轮申报认定工作。加强各级各类科研平台建设，提升科研平台的学术贡献度和学术影响力。编制实施</w:t>
      </w:r>
      <w:r w:rsidRPr="00AF174C">
        <w:rPr>
          <w:rFonts w:ascii="楷体_GB2312" w:eastAsia="楷体_GB2312" w:hAnsi="Times New Roman"/>
          <w:bCs/>
          <w:color w:val="000000"/>
          <w:sz w:val="28"/>
          <w:szCs w:val="28"/>
        </w:rPr>
        <w:t>2016</w:t>
      </w:r>
      <w:r w:rsidRPr="00AF174C">
        <w:rPr>
          <w:rFonts w:ascii="楷体_GB2312" w:eastAsia="楷体_GB2312" w:hAnsi="Times New Roman" w:hint="eastAsia"/>
          <w:bCs/>
          <w:color w:val="000000"/>
          <w:sz w:val="28"/>
          <w:szCs w:val="28"/>
        </w:rPr>
        <w:t>版“两个行动计划”。做好基本科研业务费项目的组织管理。</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（四）提升师资队伍整体素质</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加大高层次人才引培力度。</w:t>
      </w:r>
      <w:r w:rsidRPr="00A06BFF">
        <w:rPr>
          <w:rFonts w:ascii="楷体_GB2312" w:eastAsia="楷体_GB2312" w:hAnsi="Times New Roman" w:hint="eastAsia"/>
          <w:bCs/>
          <w:color w:val="000000"/>
          <w:sz w:val="28"/>
          <w:szCs w:val="28"/>
        </w:rPr>
        <w:t>抓住</w:t>
      </w:r>
      <w:r w:rsidRPr="00657BB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双一流</w:t>
      </w:r>
      <w:r w:rsidRPr="00657BB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建设和</w:t>
      </w:r>
      <w:r w:rsidRPr="00657BB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高峰</w:t>
      </w:r>
      <w:r w:rsidRPr="00657BB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高原</w:t>
      </w:r>
      <w:r w:rsidRPr="00657BBC">
        <w:rPr>
          <w:rFonts w:ascii="楷体_GB2312" w:eastAsia="楷体_GB2312" w:hAnsi="Times New Roman" w:hint="eastAsia"/>
          <w:bCs/>
          <w:color w:val="000000"/>
          <w:sz w:val="28"/>
          <w:szCs w:val="28"/>
        </w:rPr>
        <w:t>”</w:t>
      </w:r>
      <w:r w:rsidRPr="00A06BFF">
        <w:rPr>
          <w:rFonts w:ascii="楷体_GB2312" w:eastAsia="楷体_GB2312" w:hAnsi="Times New Roman" w:hint="eastAsia"/>
          <w:bCs/>
          <w:color w:val="000000"/>
          <w:sz w:val="28"/>
          <w:szCs w:val="28"/>
        </w:rPr>
        <w:t>学科建设的机遇，大力延揽高水平学科带头人和学术骨干。加大师资培养力度，</w:t>
      </w:r>
      <w:r w:rsidRPr="00490A90">
        <w:rPr>
          <w:rFonts w:ascii="楷体_GB2312" w:eastAsia="楷体_GB2312" w:hAnsi="Times New Roman" w:hint="eastAsia"/>
          <w:bCs/>
          <w:color w:val="000000"/>
          <w:sz w:val="28"/>
          <w:szCs w:val="28"/>
        </w:rPr>
        <w:t>推进“</w:t>
      </w:r>
      <w:r w:rsidRPr="00490A90">
        <w:rPr>
          <w:rFonts w:ascii="楷体_GB2312" w:eastAsia="楷体_GB2312" w:hAnsi="Times New Roman"/>
          <w:bCs/>
          <w:color w:val="000000"/>
          <w:sz w:val="28"/>
          <w:szCs w:val="28"/>
        </w:rPr>
        <w:t>1351</w:t>
      </w:r>
      <w:r w:rsidRPr="00490A90">
        <w:rPr>
          <w:rFonts w:ascii="楷体_GB2312" w:eastAsia="楷体_GB2312" w:hAnsi="Times New Roman" w:hint="eastAsia"/>
          <w:bCs/>
          <w:color w:val="000000"/>
          <w:sz w:val="28"/>
          <w:szCs w:val="28"/>
        </w:rPr>
        <w:t>人才工程”建</w:t>
      </w:r>
      <w:r w:rsidRPr="00AF174C">
        <w:rPr>
          <w:rFonts w:ascii="楷体_GB2312" w:eastAsia="楷体_GB2312" w:hAnsi="Times New Roman" w:hint="eastAsia"/>
          <w:bCs/>
          <w:color w:val="000000"/>
          <w:sz w:val="28"/>
          <w:szCs w:val="28"/>
        </w:rPr>
        <w:t>设，抓好第二批评审后续工作和首批中期考核。为新进青年教师提供科研启动经费。完善人才工作机制和配套政策体系，初步形成海内外人才库的基本信息框架。加强博士后管理与服务，召开博士后工作会议。</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完善师资队伍建设体制机制。</w:t>
      </w:r>
      <w:r w:rsidRPr="00AF174C">
        <w:rPr>
          <w:rFonts w:ascii="楷体_GB2312" w:eastAsia="楷体_GB2312" w:hAnsi="Times New Roman" w:hint="eastAsia"/>
          <w:bCs/>
          <w:color w:val="000000"/>
          <w:sz w:val="28"/>
          <w:szCs w:val="28"/>
        </w:rPr>
        <w:t>继续推进教师岗位核定工作。加强师资建设战略规划，探索双轨融合的路线图和时间表。改革非常任轨管理模式，完善新聘研究人员和新进教师首聘期退出机制。加大对存量教师的培训力度。健全薪酬两级管理体制和制度体系。</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（五）加快推进学校治理现代化</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完善现代大学治理体系。</w:t>
      </w:r>
      <w:r w:rsidRPr="00AF174C">
        <w:rPr>
          <w:rFonts w:ascii="楷体_GB2312" w:eastAsia="楷体_GB2312" w:hAnsi="Times New Roman" w:hint="eastAsia"/>
          <w:bCs/>
          <w:color w:val="000000"/>
          <w:sz w:val="28"/>
          <w:szCs w:val="28"/>
        </w:rPr>
        <w:t>制定学校党委领导下的校长负责制实施办法，修订两会议事规则和“三重一大”决策制度。健全以学术委员会为核心的学术管理体系与组织架构。加强学院治理体系和治理能力建设。深化现有审计业务，瞄准重点领域探索新兴审计业务。以建设程序规范项目过程管理，健全工程项目管理机制。</w:t>
      </w:r>
    </w:p>
    <w:p w:rsidR="003807C6"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提高精细化管理水平。</w:t>
      </w:r>
      <w:r w:rsidRPr="00AF174C">
        <w:rPr>
          <w:rFonts w:ascii="楷体_GB2312" w:eastAsia="楷体_GB2312" w:hAnsi="Times New Roman" w:hint="eastAsia"/>
          <w:bCs/>
          <w:color w:val="000000"/>
          <w:sz w:val="28"/>
          <w:szCs w:val="28"/>
        </w:rPr>
        <w:t>加强资源、能源和物业的绩效管理，颁布实施《公有房定额管理办法》、《楼宇物业管理办法》和《能源定额管理制度》。加大资金筹措力度，力争实现学校财政收入</w:t>
      </w:r>
      <w:r w:rsidRPr="00AF174C">
        <w:rPr>
          <w:rFonts w:ascii="楷体_GB2312" w:eastAsia="楷体_GB2312" w:hAnsi="Times New Roman"/>
          <w:bCs/>
          <w:color w:val="000000"/>
          <w:sz w:val="28"/>
          <w:szCs w:val="28"/>
        </w:rPr>
        <w:t>12</w:t>
      </w:r>
      <w:r w:rsidRPr="00AF174C">
        <w:rPr>
          <w:rFonts w:ascii="楷体_GB2312" w:eastAsia="楷体_GB2312" w:hAnsi="Times New Roman" w:hint="eastAsia"/>
          <w:bCs/>
          <w:color w:val="000000"/>
          <w:sz w:val="28"/>
          <w:szCs w:val="28"/>
        </w:rPr>
        <w:t>亿</w:t>
      </w:r>
      <w:r>
        <w:rPr>
          <w:rFonts w:ascii="楷体_GB2312" w:eastAsia="楷体_GB2312" w:hAnsi="Times New Roman" w:hint="eastAsia"/>
          <w:bCs/>
          <w:color w:val="000000"/>
          <w:sz w:val="28"/>
          <w:szCs w:val="28"/>
        </w:rPr>
        <w:t>元</w:t>
      </w:r>
      <w:r w:rsidRPr="00AF174C">
        <w:rPr>
          <w:rFonts w:ascii="楷体_GB2312" w:eastAsia="楷体_GB2312" w:hAnsi="Times New Roman" w:hint="eastAsia"/>
          <w:bCs/>
          <w:color w:val="000000"/>
          <w:sz w:val="28"/>
          <w:szCs w:val="28"/>
        </w:rPr>
        <w:t>，抓好专项预算执行工作。继续推进国有资产专项检查问题整改。规范国有资产出租出借管理。适时推出学校政府采购管理制度。</w:t>
      </w:r>
    </w:p>
    <w:p w:rsidR="003807C6" w:rsidRPr="003C587A"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06BFF">
        <w:rPr>
          <w:rFonts w:ascii="楷体_GB2312" w:eastAsia="楷体_GB2312" w:hAnsi="Times New Roman" w:hint="eastAsia"/>
          <w:b/>
          <w:bCs/>
          <w:color w:val="000000"/>
          <w:sz w:val="28"/>
          <w:szCs w:val="28"/>
        </w:rPr>
        <w:t>健全社会支持和监督学校发展的长效机制。</w:t>
      </w:r>
      <w:r w:rsidRPr="00FD5CAF">
        <w:rPr>
          <w:rFonts w:ascii="楷体_GB2312" w:eastAsia="楷体_GB2312" w:hAnsi="Times New Roman" w:hint="eastAsia"/>
          <w:bCs/>
          <w:color w:val="000000"/>
          <w:sz w:val="28"/>
          <w:szCs w:val="28"/>
        </w:rPr>
        <w:t>搭建全球化的校友组织体系，构筑校友与母校携手共进的良好格局。物色和发展高层次校董，完善学校与校董单位的联系和合作机制。提升基金会资金募集和资金运营能力，力争年度募集资金</w:t>
      </w:r>
      <w:r w:rsidRPr="00FD5CAF">
        <w:rPr>
          <w:rFonts w:ascii="楷体_GB2312" w:eastAsia="楷体_GB2312" w:hAnsi="Times New Roman"/>
          <w:bCs/>
          <w:color w:val="000000"/>
          <w:sz w:val="28"/>
          <w:szCs w:val="28"/>
        </w:rPr>
        <w:t>3000</w:t>
      </w:r>
      <w:r w:rsidRPr="00FD5CAF">
        <w:rPr>
          <w:rFonts w:ascii="楷体_GB2312" w:eastAsia="楷体_GB2312" w:hAnsi="Times New Roman" w:hint="eastAsia"/>
          <w:bCs/>
          <w:color w:val="000000"/>
          <w:sz w:val="28"/>
          <w:szCs w:val="28"/>
        </w:rPr>
        <w:t>万元，基金会资金运作年收益</w:t>
      </w:r>
      <w:r w:rsidRPr="00FD5CAF">
        <w:rPr>
          <w:rFonts w:ascii="楷体_GB2312" w:eastAsia="楷体_GB2312" w:hAnsi="Times New Roman"/>
          <w:bCs/>
          <w:color w:val="000000"/>
          <w:sz w:val="28"/>
          <w:szCs w:val="28"/>
        </w:rPr>
        <w:t>450</w:t>
      </w:r>
      <w:r w:rsidRPr="00FD5CAF">
        <w:rPr>
          <w:rFonts w:ascii="楷体_GB2312" w:eastAsia="楷体_GB2312" w:hAnsi="Times New Roman" w:hint="eastAsia"/>
          <w:bCs/>
          <w:color w:val="000000"/>
          <w:sz w:val="28"/>
          <w:szCs w:val="28"/>
        </w:rPr>
        <w:t>万元，争取政府捐赠配比</w:t>
      </w:r>
      <w:r w:rsidRPr="00FD5CAF">
        <w:rPr>
          <w:rFonts w:ascii="楷体_GB2312" w:eastAsia="楷体_GB2312" w:hAnsi="Times New Roman"/>
          <w:bCs/>
          <w:color w:val="000000"/>
          <w:sz w:val="28"/>
          <w:szCs w:val="28"/>
        </w:rPr>
        <w:t>1550</w:t>
      </w:r>
      <w:r>
        <w:rPr>
          <w:rFonts w:ascii="楷体_GB2312" w:eastAsia="楷体_GB2312" w:hAnsi="Times New Roman" w:hint="eastAsia"/>
          <w:bCs/>
          <w:color w:val="000000"/>
          <w:sz w:val="28"/>
          <w:szCs w:val="28"/>
        </w:rPr>
        <w:t>万元。</w:t>
      </w:r>
      <w:r w:rsidRPr="00FD5CAF">
        <w:rPr>
          <w:rFonts w:ascii="楷体_GB2312" w:eastAsia="楷体_GB2312" w:hAnsi="Times New Roman" w:hint="eastAsia"/>
          <w:bCs/>
          <w:color w:val="000000"/>
          <w:sz w:val="28"/>
          <w:szCs w:val="28"/>
        </w:rPr>
        <w:t>筹建深圳研究院。</w:t>
      </w:r>
      <w:r>
        <w:rPr>
          <w:rFonts w:ascii="楷体_GB2312" w:eastAsia="楷体_GB2312" w:hAnsi="Times New Roman" w:hint="eastAsia"/>
          <w:bCs/>
          <w:color w:val="000000"/>
          <w:sz w:val="28"/>
          <w:szCs w:val="28"/>
        </w:rPr>
        <w:t>做好</w:t>
      </w:r>
      <w:r w:rsidRPr="00FD5CAF">
        <w:rPr>
          <w:rFonts w:ascii="楷体_GB2312" w:eastAsia="楷体_GB2312" w:hAnsi="Times New Roman" w:hint="eastAsia"/>
          <w:bCs/>
          <w:color w:val="000000"/>
          <w:sz w:val="28"/>
          <w:szCs w:val="28"/>
        </w:rPr>
        <w:t>附属北郊高级中学</w:t>
      </w:r>
      <w:r>
        <w:rPr>
          <w:rFonts w:ascii="楷体_GB2312" w:eastAsia="楷体_GB2312" w:hAnsi="Times New Roman" w:hint="eastAsia"/>
          <w:bCs/>
          <w:color w:val="000000"/>
          <w:sz w:val="28"/>
          <w:szCs w:val="28"/>
        </w:rPr>
        <w:t>的合作共建工作。</w:t>
      </w:r>
    </w:p>
    <w:p w:rsidR="003807C6" w:rsidRPr="00AF174C" w:rsidRDefault="003807C6" w:rsidP="004859D1">
      <w:pPr>
        <w:snapToGrid w:val="0"/>
        <w:spacing w:beforeLines="50" w:line="360" w:lineRule="auto"/>
        <w:ind w:firstLineChars="200" w:firstLine="31680"/>
        <w:rPr>
          <w:rFonts w:ascii="黑体" w:eastAsia="黑体" w:hAnsi="Times New Roman"/>
          <w:b/>
          <w:bCs/>
          <w:color w:val="000000"/>
          <w:sz w:val="28"/>
          <w:szCs w:val="28"/>
        </w:rPr>
      </w:pPr>
      <w:r w:rsidRPr="00AF174C">
        <w:rPr>
          <w:rFonts w:ascii="黑体" w:eastAsia="黑体" w:hAnsi="Times New Roman" w:hint="eastAsia"/>
          <w:b/>
          <w:bCs/>
          <w:color w:val="000000"/>
          <w:sz w:val="28"/>
          <w:szCs w:val="28"/>
        </w:rPr>
        <w:t>（六）提高服务质量和保障水平</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营造良好育人环境。</w:t>
      </w:r>
      <w:r w:rsidRPr="00AF174C">
        <w:rPr>
          <w:rFonts w:ascii="楷体_GB2312" w:eastAsia="楷体_GB2312" w:hAnsi="Times New Roman" w:hint="eastAsia"/>
          <w:bCs/>
          <w:color w:val="000000"/>
          <w:sz w:val="28"/>
          <w:szCs w:val="28"/>
        </w:rPr>
        <w:t>实施</w:t>
      </w:r>
      <w:r w:rsidRPr="00AF174C">
        <w:rPr>
          <w:rFonts w:ascii="楷体_GB2312" w:eastAsia="楷体_GB2312" w:hAnsi="Times New Roman"/>
          <w:bCs/>
          <w:color w:val="000000"/>
          <w:sz w:val="28"/>
          <w:szCs w:val="28"/>
        </w:rPr>
        <w:t>2016</w:t>
      </w:r>
      <w:r w:rsidRPr="00AF174C">
        <w:rPr>
          <w:rFonts w:ascii="楷体_GB2312" w:eastAsia="楷体_GB2312" w:hAnsi="Times New Roman" w:hint="eastAsia"/>
          <w:bCs/>
          <w:color w:val="000000"/>
          <w:sz w:val="28"/>
          <w:szCs w:val="28"/>
        </w:rPr>
        <w:t>年服务师生十项实事</w:t>
      </w:r>
      <w:r>
        <w:rPr>
          <w:rFonts w:ascii="楷体_GB2312" w:eastAsia="楷体_GB2312" w:hAnsi="Times New Roman" w:hint="eastAsia"/>
          <w:bCs/>
          <w:color w:val="000000"/>
          <w:sz w:val="28"/>
          <w:szCs w:val="28"/>
        </w:rPr>
        <w:t>，包括</w:t>
      </w:r>
      <w:r w:rsidRPr="003C587A">
        <w:rPr>
          <w:rFonts w:ascii="楷体_GB2312" w:eastAsia="楷体_GB2312" w:hAnsi="Times New Roman" w:hint="eastAsia"/>
          <w:bCs/>
          <w:color w:val="000000"/>
          <w:sz w:val="28"/>
          <w:szCs w:val="28"/>
        </w:rPr>
        <w:t>建设“博雅书堂”</w:t>
      </w:r>
      <w:r>
        <w:rPr>
          <w:rFonts w:ascii="楷体_GB2312" w:eastAsia="楷体_GB2312" w:hAnsi="Times New Roman" w:hint="eastAsia"/>
          <w:bCs/>
          <w:color w:val="000000"/>
          <w:sz w:val="28"/>
          <w:szCs w:val="28"/>
        </w:rPr>
        <w:t>，</w:t>
      </w:r>
      <w:r w:rsidRPr="003C587A">
        <w:rPr>
          <w:rFonts w:ascii="楷体_GB2312" w:eastAsia="楷体_GB2312" w:hAnsi="Times New Roman" w:hint="eastAsia"/>
          <w:bCs/>
          <w:color w:val="000000"/>
          <w:sz w:val="28"/>
          <w:szCs w:val="28"/>
        </w:rPr>
        <w:t>校园移动服务平台</w:t>
      </w:r>
      <w:r>
        <w:rPr>
          <w:rFonts w:ascii="楷体_GB2312" w:eastAsia="楷体_GB2312" w:hAnsi="Times New Roman" w:hint="eastAsia"/>
          <w:bCs/>
          <w:color w:val="000000"/>
          <w:sz w:val="28"/>
          <w:szCs w:val="28"/>
        </w:rPr>
        <w:t>和</w:t>
      </w:r>
      <w:r w:rsidRPr="003C587A">
        <w:rPr>
          <w:rFonts w:ascii="楷体_GB2312" w:eastAsia="楷体_GB2312" w:hAnsi="Times New Roman" w:hint="eastAsia"/>
          <w:bCs/>
          <w:color w:val="000000"/>
          <w:sz w:val="28"/>
          <w:szCs w:val="28"/>
        </w:rPr>
        <w:t>一键式校园安全报警系统</w:t>
      </w:r>
      <w:r>
        <w:rPr>
          <w:rFonts w:ascii="楷体_GB2312" w:eastAsia="楷体_GB2312" w:hAnsi="Times New Roman" w:hint="eastAsia"/>
          <w:bCs/>
          <w:color w:val="000000"/>
          <w:sz w:val="28"/>
          <w:szCs w:val="28"/>
        </w:rPr>
        <w:t>，完成学生艺术中心改造项目，</w:t>
      </w:r>
      <w:r w:rsidRPr="003C587A">
        <w:rPr>
          <w:rFonts w:ascii="楷体_GB2312" w:eastAsia="楷体_GB2312" w:hAnsi="Times New Roman" w:hint="eastAsia"/>
          <w:bCs/>
          <w:color w:val="000000"/>
          <w:sz w:val="28"/>
          <w:szCs w:val="28"/>
        </w:rPr>
        <w:t>实施全员跳绳强身计划</w:t>
      </w:r>
      <w:r>
        <w:rPr>
          <w:rFonts w:ascii="楷体_GB2312" w:eastAsia="楷体_GB2312" w:hAnsi="Times New Roman" w:hint="eastAsia"/>
          <w:bCs/>
          <w:color w:val="000000"/>
          <w:sz w:val="28"/>
          <w:szCs w:val="28"/>
        </w:rPr>
        <w:t>，</w:t>
      </w:r>
      <w:r w:rsidRPr="003C587A">
        <w:rPr>
          <w:rFonts w:ascii="楷体_GB2312" w:eastAsia="楷体_GB2312" w:hAnsi="Times New Roman" w:hint="eastAsia"/>
          <w:bCs/>
          <w:color w:val="000000"/>
          <w:sz w:val="28"/>
          <w:szCs w:val="28"/>
        </w:rPr>
        <w:t>建成国定路快递中心</w:t>
      </w:r>
      <w:r>
        <w:rPr>
          <w:rFonts w:ascii="楷体_GB2312" w:eastAsia="楷体_GB2312" w:hAnsi="Times New Roman" w:hint="eastAsia"/>
          <w:bCs/>
          <w:color w:val="000000"/>
          <w:sz w:val="28"/>
          <w:szCs w:val="28"/>
        </w:rPr>
        <w:t>，</w:t>
      </w:r>
      <w:r w:rsidRPr="003C587A">
        <w:rPr>
          <w:rFonts w:ascii="楷体_GB2312" w:eastAsia="楷体_GB2312" w:hAnsi="Times New Roman" w:hint="eastAsia"/>
          <w:bCs/>
          <w:color w:val="000000"/>
          <w:sz w:val="28"/>
          <w:szCs w:val="28"/>
        </w:rPr>
        <w:t>打造“校友之家”和“众创空间”</w:t>
      </w:r>
      <w:r>
        <w:rPr>
          <w:rFonts w:ascii="楷体_GB2312" w:eastAsia="楷体_GB2312" w:hAnsi="Times New Roman" w:hint="eastAsia"/>
          <w:bCs/>
          <w:color w:val="000000"/>
          <w:sz w:val="28"/>
          <w:szCs w:val="28"/>
        </w:rPr>
        <w:t>等。</w:t>
      </w:r>
      <w:r w:rsidRPr="00AF174C">
        <w:rPr>
          <w:rFonts w:ascii="楷体_GB2312" w:eastAsia="楷体_GB2312" w:hAnsi="Times New Roman" w:hint="eastAsia"/>
          <w:bCs/>
          <w:color w:val="000000"/>
          <w:sz w:val="28"/>
          <w:szCs w:val="28"/>
        </w:rPr>
        <w:t>抓好主校区体育馆、科研实验中心，武川校区实验楼、</w:t>
      </w:r>
      <w:r w:rsidRPr="00AF174C">
        <w:rPr>
          <w:rFonts w:ascii="楷体_GB2312" w:eastAsia="楷体_GB2312" w:hAnsi="Times New Roman"/>
          <w:bCs/>
          <w:color w:val="000000"/>
          <w:sz w:val="28"/>
          <w:szCs w:val="28"/>
        </w:rPr>
        <w:t>18</w:t>
      </w:r>
      <w:r w:rsidRPr="00AF174C">
        <w:rPr>
          <w:rFonts w:ascii="楷体_GB2312" w:eastAsia="楷体_GB2312" w:hAnsi="Times New Roman" w:hint="eastAsia"/>
          <w:bCs/>
          <w:color w:val="000000"/>
          <w:sz w:val="28"/>
          <w:szCs w:val="28"/>
        </w:rPr>
        <w:t>号线地铁配套项目、育衡楼修缮工程、国定路学生艺术中心等重点项目建设。分步实施地下管网和校园道路、绿化改造。加强校园安全教育，做好各类应急预案的宣传教育和培训演练。</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
          <w:bCs/>
          <w:color w:val="000000"/>
          <w:sz w:val="28"/>
          <w:szCs w:val="28"/>
        </w:rPr>
        <w:t>抓实百年校庆筹备工作。</w:t>
      </w:r>
      <w:r w:rsidRPr="00AF174C">
        <w:rPr>
          <w:rFonts w:ascii="楷体_GB2312" w:eastAsia="楷体_GB2312" w:hAnsi="Times New Roman" w:hint="eastAsia"/>
          <w:bCs/>
          <w:color w:val="000000"/>
          <w:sz w:val="28"/>
          <w:szCs w:val="28"/>
        </w:rPr>
        <w:t>完成百年校庆八大工程年度建设任务。</w:t>
      </w:r>
      <w:r>
        <w:rPr>
          <w:rFonts w:ascii="楷体_GB2312" w:eastAsia="楷体_GB2312" w:hAnsi="Times New Roman" w:hint="eastAsia"/>
          <w:bCs/>
          <w:color w:val="000000"/>
          <w:sz w:val="28"/>
          <w:szCs w:val="28"/>
        </w:rPr>
        <w:t>扎实推进</w:t>
      </w:r>
      <w:r w:rsidRPr="00AF174C">
        <w:rPr>
          <w:rFonts w:ascii="楷体_GB2312" w:eastAsia="楷体_GB2312" w:hAnsi="Times New Roman" w:hint="eastAsia"/>
          <w:bCs/>
          <w:color w:val="000000"/>
          <w:sz w:val="28"/>
          <w:szCs w:val="28"/>
        </w:rPr>
        <w:t>中国商学博物馆</w:t>
      </w:r>
      <w:r>
        <w:rPr>
          <w:rFonts w:ascii="楷体_GB2312" w:eastAsia="楷体_GB2312" w:hAnsi="Times New Roman" w:hint="eastAsia"/>
          <w:bCs/>
          <w:color w:val="000000"/>
          <w:sz w:val="28"/>
          <w:szCs w:val="28"/>
        </w:rPr>
        <w:t>筹建，校史馆改扩建和校友馆筹建工作。</w:t>
      </w:r>
      <w:r w:rsidRPr="00AF174C">
        <w:rPr>
          <w:rFonts w:ascii="楷体_GB2312" w:eastAsia="楷体_GB2312" w:hAnsi="Times New Roman" w:hint="eastAsia"/>
          <w:bCs/>
          <w:color w:val="000000"/>
          <w:sz w:val="28"/>
          <w:szCs w:val="28"/>
        </w:rPr>
        <w:t>做好马寅初雕像与题字石、老校门、校歌、</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办学铭</w:t>
      </w:r>
      <w:r>
        <w:rPr>
          <w:rFonts w:ascii="楷体_GB2312" w:eastAsia="楷体_GB2312" w:hAnsi="Times New Roman" w:hint="eastAsia"/>
          <w:bCs/>
          <w:color w:val="000000"/>
          <w:sz w:val="28"/>
          <w:szCs w:val="28"/>
        </w:rPr>
        <w:t>”</w:t>
      </w:r>
      <w:r w:rsidRPr="00AF174C">
        <w:rPr>
          <w:rFonts w:ascii="楷体_GB2312" w:eastAsia="楷体_GB2312" w:hAnsi="Times New Roman" w:hint="eastAsia"/>
          <w:bCs/>
          <w:color w:val="000000"/>
          <w:sz w:val="28"/>
          <w:szCs w:val="28"/>
        </w:rPr>
        <w:t>、“上财精神”凝炼等重点项目</w:t>
      </w:r>
      <w:r>
        <w:rPr>
          <w:rFonts w:ascii="楷体_GB2312" w:eastAsia="楷体_GB2312" w:hAnsi="Times New Roman" w:hint="eastAsia"/>
          <w:bCs/>
          <w:color w:val="000000"/>
          <w:sz w:val="28"/>
          <w:szCs w:val="28"/>
        </w:rPr>
        <w:t>，完成</w:t>
      </w:r>
      <w:r w:rsidRPr="000D50EE">
        <w:rPr>
          <w:rFonts w:ascii="楷体_GB2312" w:eastAsia="楷体_GB2312" w:hAnsi="Times New Roman" w:hint="eastAsia"/>
          <w:bCs/>
          <w:color w:val="000000"/>
          <w:sz w:val="28"/>
          <w:szCs w:val="28"/>
        </w:rPr>
        <w:t>百年校庆师生</w:t>
      </w:r>
      <w:r>
        <w:rPr>
          <w:rFonts w:ascii="楷体_GB2312" w:eastAsia="楷体_GB2312" w:hAnsi="Times New Roman"/>
          <w:bCs/>
          <w:color w:val="000000"/>
          <w:sz w:val="28"/>
          <w:szCs w:val="28"/>
        </w:rPr>
        <w:t>/</w:t>
      </w:r>
      <w:r w:rsidRPr="000D50EE">
        <w:rPr>
          <w:rFonts w:ascii="楷体_GB2312" w:eastAsia="楷体_GB2312" w:hAnsi="Times New Roman" w:hint="eastAsia"/>
          <w:bCs/>
          <w:color w:val="000000"/>
          <w:sz w:val="28"/>
          <w:szCs w:val="28"/>
        </w:rPr>
        <w:t>校友书画展、师生摄影展、青花艺术百瓶展等项目</w:t>
      </w:r>
      <w:r>
        <w:rPr>
          <w:rFonts w:ascii="楷体_GB2312" w:eastAsia="楷体_GB2312" w:hAnsi="Times New Roman" w:hint="eastAsia"/>
          <w:bCs/>
          <w:color w:val="000000"/>
          <w:sz w:val="28"/>
          <w:szCs w:val="28"/>
        </w:rPr>
        <w:t>的</w:t>
      </w:r>
      <w:r w:rsidRPr="000D50EE">
        <w:rPr>
          <w:rFonts w:ascii="楷体_GB2312" w:eastAsia="楷体_GB2312" w:hAnsi="Times New Roman" w:hint="eastAsia"/>
          <w:bCs/>
          <w:color w:val="000000"/>
          <w:sz w:val="28"/>
          <w:szCs w:val="28"/>
        </w:rPr>
        <w:t>征集、遴选和制作工作。</w:t>
      </w:r>
      <w:r w:rsidRPr="00AF174C">
        <w:rPr>
          <w:rFonts w:ascii="楷体_GB2312" w:eastAsia="楷体_GB2312" w:hAnsi="Times New Roman" w:hint="eastAsia"/>
          <w:bCs/>
          <w:color w:val="000000"/>
          <w:sz w:val="28"/>
          <w:szCs w:val="28"/>
        </w:rPr>
        <w:t>研究制订百年校庆庆典年活动方案</w:t>
      </w:r>
      <w:r>
        <w:rPr>
          <w:rFonts w:ascii="楷体_GB2312" w:eastAsia="楷体_GB2312" w:hAnsi="Times New Roman" w:hint="eastAsia"/>
          <w:bCs/>
          <w:color w:val="000000"/>
          <w:sz w:val="28"/>
          <w:szCs w:val="28"/>
        </w:rPr>
        <w:t>和</w:t>
      </w:r>
      <w:r w:rsidRPr="002D2B2C">
        <w:rPr>
          <w:rFonts w:ascii="楷体_GB2312" w:eastAsia="楷体_GB2312" w:hAnsi="Times New Roman" w:hint="eastAsia"/>
          <w:bCs/>
          <w:color w:val="000000"/>
          <w:sz w:val="28"/>
          <w:szCs w:val="28"/>
        </w:rPr>
        <w:t>百年校庆整体宣传计划</w:t>
      </w:r>
      <w:r>
        <w:rPr>
          <w:rFonts w:ascii="楷体_GB2312" w:eastAsia="楷体_GB2312" w:hAnsi="Times New Roman" w:hint="eastAsia"/>
          <w:bCs/>
          <w:color w:val="000000"/>
          <w:sz w:val="28"/>
          <w:szCs w:val="28"/>
        </w:rPr>
        <w:t>，</w:t>
      </w:r>
      <w:r w:rsidRPr="002D2B2C">
        <w:rPr>
          <w:rFonts w:ascii="楷体_GB2312" w:eastAsia="楷体_GB2312" w:hAnsi="Times New Roman" w:hint="eastAsia"/>
          <w:bCs/>
          <w:color w:val="000000"/>
          <w:sz w:val="28"/>
          <w:szCs w:val="28"/>
        </w:rPr>
        <w:t>策划</w:t>
      </w:r>
      <w:r>
        <w:rPr>
          <w:rFonts w:ascii="楷体_GB2312" w:eastAsia="楷体_GB2312" w:hAnsi="Times New Roman" w:hint="eastAsia"/>
          <w:bCs/>
          <w:color w:val="000000"/>
          <w:sz w:val="28"/>
          <w:szCs w:val="28"/>
        </w:rPr>
        <w:t>启动</w:t>
      </w:r>
      <w:r w:rsidRPr="002D2B2C">
        <w:rPr>
          <w:rFonts w:ascii="楷体_GB2312" w:eastAsia="楷体_GB2312" w:hAnsi="Times New Roman" w:hint="eastAsia"/>
          <w:bCs/>
          <w:color w:val="000000"/>
          <w:sz w:val="28"/>
          <w:szCs w:val="28"/>
        </w:rPr>
        <w:t>学校宣传片</w:t>
      </w:r>
      <w:r>
        <w:rPr>
          <w:rFonts w:ascii="楷体_GB2312" w:eastAsia="楷体_GB2312" w:hAnsi="Times New Roman" w:hint="eastAsia"/>
          <w:bCs/>
          <w:color w:val="000000"/>
          <w:sz w:val="28"/>
          <w:szCs w:val="28"/>
        </w:rPr>
        <w:t>、形象片拍摄工作。</w:t>
      </w:r>
    </w:p>
    <w:p w:rsidR="003807C6" w:rsidRPr="00AF174C" w:rsidRDefault="003807C6" w:rsidP="004859D1">
      <w:pPr>
        <w:snapToGrid w:val="0"/>
        <w:spacing w:beforeLines="50"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各位代表、同志们，满怀喜悦与收获的“十二五”已载入学校史册，充满生机与希望的“十三五”又掀开新的篇章。站在“十三五”的起跑线上，让我们牢牢把握“双一流”建设的契机，振奋精神，攻坚克难，用改革推动发展，用发展凝聚人心，全面激发办学活力，不断提升办学质量，努力开创学校事业发展新局面！</w:t>
      </w:r>
    </w:p>
    <w:p w:rsidR="003807C6" w:rsidRPr="00AF174C" w:rsidRDefault="003807C6" w:rsidP="004859D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最后，祝本次“双代会”取得圆满成功，祝各位代表和同志们身体健康，工作顺利！</w:t>
      </w:r>
    </w:p>
    <w:p w:rsidR="003807C6" w:rsidRPr="00AF174C" w:rsidRDefault="003807C6" w:rsidP="00713E91">
      <w:pPr>
        <w:snapToGrid w:val="0"/>
        <w:spacing w:line="360" w:lineRule="auto"/>
        <w:ind w:firstLineChars="200" w:firstLine="31680"/>
        <w:rPr>
          <w:rFonts w:ascii="楷体_GB2312" w:eastAsia="楷体_GB2312" w:hAnsi="Times New Roman"/>
          <w:bCs/>
          <w:color w:val="000000"/>
          <w:sz w:val="28"/>
          <w:szCs w:val="28"/>
        </w:rPr>
      </w:pPr>
      <w:r w:rsidRPr="00AF174C">
        <w:rPr>
          <w:rFonts w:ascii="楷体_GB2312" w:eastAsia="楷体_GB2312" w:hAnsi="Times New Roman" w:hint="eastAsia"/>
          <w:bCs/>
          <w:color w:val="000000"/>
          <w:sz w:val="28"/>
          <w:szCs w:val="28"/>
        </w:rPr>
        <w:t>谢谢！</w:t>
      </w:r>
    </w:p>
    <w:sectPr w:rsidR="003807C6" w:rsidRPr="00AF174C" w:rsidSect="001572E8">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C6" w:rsidRDefault="003807C6" w:rsidP="00FF5C2A">
      <w:r>
        <w:separator/>
      </w:r>
    </w:p>
  </w:endnote>
  <w:endnote w:type="continuationSeparator" w:id="0">
    <w:p w:rsidR="003807C6" w:rsidRDefault="003807C6" w:rsidP="00FF5C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C6" w:rsidRPr="00A172FB" w:rsidRDefault="003807C6" w:rsidP="001A3149">
    <w:pPr>
      <w:pStyle w:val="Footer"/>
      <w:jc w:val="center"/>
      <w:rPr>
        <w:rFonts w:ascii="仿宋" w:eastAsia="仿宋" w:hAnsi="仿宋"/>
        <w:sz w:val="21"/>
        <w:szCs w:val="21"/>
      </w:rPr>
    </w:pPr>
    <w:r w:rsidRPr="00A172FB">
      <w:rPr>
        <w:rFonts w:ascii="仿宋" w:eastAsia="仿宋" w:hAnsi="仿宋"/>
        <w:sz w:val="21"/>
        <w:szCs w:val="21"/>
      </w:rPr>
      <w:fldChar w:fldCharType="begin"/>
    </w:r>
    <w:r w:rsidRPr="00A172FB">
      <w:rPr>
        <w:rFonts w:ascii="仿宋" w:eastAsia="仿宋" w:hAnsi="仿宋"/>
        <w:sz w:val="21"/>
        <w:szCs w:val="21"/>
      </w:rPr>
      <w:instrText>PAGE   \* MERGEFORMAT</w:instrText>
    </w:r>
    <w:r w:rsidRPr="00A172FB">
      <w:rPr>
        <w:rFonts w:ascii="仿宋" w:eastAsia="仿宋" w:hAnsi="仿宋"/>
        <w:sz w:val="21"/>
        <w:szCs w:val="21"/>
      </w:rPr>
      <w:fldChar w:fldCharType="separate"/>
    </w:r>
    <w:r w:rsidRPr="004859D1">
      <w:rPr>
        <w:rFonts w:ascii="仿宋" w:eastAsia="仿宋" w:hAnsi="仿宋"/>
        <w:noProof/>
        <w:sz w:val="21"/>
        <w:szCs w:val="21"/>
        <w:lang w:val="zh-CN"/>
      </w:rPr>
      <w:t>2</w:t>
    </w:r>
    <w:r w:rsidRPr="00A172FB">
      <w:rPr>
        <w:rFonts w:ascii="仿宋" w:eastAsia="仿宋" w:hAnsi="仿宋"/>
        <w:sz w:val="21"/>
        <w:szCs w:val="21"/>
      </w:rPr>
      <w:fldChar w:fldCharType="end"/>
    </w:r>
  </w:p>
  <w:p w:rsidR="003807C6" w:rsidRDefault="00380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C6" w:rsidRDefault="003807C6" w:rsidP="00FF5C2A">
      <w:r>
        <w:separator/>
      </w:r>
    </w:p>
  </w:footnote>
  <w:footnote w:type="continuationSeparator" w:id="0">
    <w:p w:rsidR="003807C6" w:rsidRDefault="003807C6" w:rsidP="00FF5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C6" w:rsidRDefault="003807C6" w:rsidP="003807C6">
    <w:pPr>
      <w:pStyle w:val="Header"/>
      <w:pBdr>
        <w:bottom w:val="none" w:sz="0" w:space="0" w:color="auto"/>
      </w:pBdr>
      <w:pPrChange w:id="1" w:author="赵银洲" w:date="2016-03-17T09:18:00Z">
        <w:pPr>
          <w:pStyle w:val="Header"/>
        </w:pPr>
      </w:pPrChange>
    </w:pPr>
    <w:r>
      <w:rPr>
        <w:noProof/>
      </w:rPr>
      <w:pict>
        <v:shapetype id="_x0000_t202" coordsize="21600,21600" o:spt="202" path="m,l,21600r21600,l21600,xe">
          <v:stroke joinstyle="miter"/>
          <v:path gradientshapeok="t" o:connecttype="rect"/>
        </v:shapetype>
        <v:shape id="_x0000_s2049" type="#_x0000_t202" style="position:absolute;left:0;text-align:left;margin-left:-45pt;margin-top:-1.75pt;width:68.45pt;height:18.85pt;z-index:251660288;mso-wrap-style:none" stroked="f">
          <v:textbox style="mso-fit-shape-to-text:t">
            <w:txbxContent>
              <w:p w:rsidR="003807C6" w:rsidRPr="004859D1" w:rsidRDefault="003807C6" w:rsidP="003807C6">
                <w:pPr>
                  <w:pStyle w:val="Header"/>
                  <w:pBdr>
                    <w:bottom w:val="none" w:sz="0" w:space="0" w:color="auto"/>
                  </w:pBdr>
                  <w:pPrChange w:id="2" w:author="赵银洲" w:date="2016-03-17T09:19:00Z">
                    <w:pPr>
                      <w:pStyle w:val="Header"/>
                    </w:pPr>
                  </w:pPrChange>
                </w:pPr>
                <w:r w:rsidRPr="004859D1">
                  <w:rPr>
                    <w:rFonts w:hint="eastAsia"/>
                  </w:rPr>
                  <w:t>大会材料之三</w:t>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1AB"/>
    <w:multiLevelType w:val="hybridMultilevel"/>
    <w:tmpl w:val="BE1E0904"/>
    <w:lvl w:ilvl="0" w:tplc="3CA615EE">
      <w:start w:val="1"/>
      <w:numFmt w:val="bullet"/>
      <w:lvlText w:val=""/>
      <w:lvlJc w:val="left"/>
      <w:pPr>
        <w:tabs>
          <w:tab w:val="num" w:pos="720"/>
        </w:tabs>
        <w:ind w:left="720" w:hanging="360"/>
      </w:pPr>
      <w:rPr>
        <w:rFonts w:ascii="Wingdings" w:hAnsi="Wingdings" w:hint="default"/>
      </w:rPr>
    </w:lvl>
    <w:lvl w:ilvl="1" w:tplc="CFDE1A16" w:tentative="1">
      <w:start w:val="1"/>
      <w:numFmt w:val="bullet"/>
      <w:lvlText w:val=""/>
      <w:lvlJc w:val="left"/>
      <w:pPr>
        <w:tabs>
          <w:tab w:val="num" w:pos="1440"/>
        </w:tabs>
        <w:ind w:left="1440" w:hanging="360"/>
      </w:pPr>
      <w:rPr>
        <w:rFonts w:ascii="Wingdings" w:hAnsi="Wingdings" w:hint="default"/>
      </w:rPr>
    </w:lvl>
    <w:lvl w:ilvl="2" w:tplc="25F0BA40" w:tentative="1">
      <w:start w:val="1"/>
      <w:numFmt w:val="bullet"/>
      <w:lvlText w:val=""/>
      <w:lvlJc w:val="left"/>
      <w:pPr>
        <w:tabs>
          <w:tab w:val="num" w:pos="2160"/>
        </w:tabs>
        <w:ind w:left="2160" w:hanging="360"/>
      </w:pPr>
      <w:rPr>
        <w:rFonts w:ascii="Wingdings" w:hAnsi="Wingdings" w:hint="default"/>
      </w:rPr>
    </w:lvl>
    <w:lvl w:ilvl="3" w:tplc="ACBA076E" w:tentative="1">
      <w:start w:val="1"/>
      <w:numFmt w:val="bullet"/>
      <w:lvlText w:val=""/>
      <w:lvlJc w:val="left"/>
      <w:pPr>
        <w:tabs>
          <w:tab w:val="num" w:pos="2880"/>
        </w:tabs>
        <w:ind w:left="2880" w:hanging="360"/>
      </w:pPr>
      <w:rPr>
        <w:rFonts w:ascii="Wingdings" w:hAnsi="Wingdings" w:hint="default"/>
      </w:rPr>
    </w:lvl>
    <w:lvl w:ilvl="4" w:tplc="5678B1F6" w:tentative="1">
      <w:start w:val="1"/>
      <w:numFmt w:val="bullet"/>
      <w:lvlText w:val=""/>
      <w:lvlJc w:val="left"/>
      <w:pPr>
        <w:tabs>
          <w:tab w:val="num" w:pos="3600"/>
        </w:tabs>
        <w:ind w:left="3600" w:hanging="360"/>
      </w:pPr>
      <w:rPr>
        <w:rFonts w:ascii="Wingdings" w:hAnsi="Wingdings" w:hint="default"/>
      </w:rPr>
    </w:lvl>
    <w:lvl w:ilvl="5" w:tplc="D82A6E92" w:tentative="1">
      <w:start w:val="1"/>
      <w:numFmt w:val="bullet"/>
      <w:lvlText w:val=""/>
      <w:lvlJc w:val="left"/>
      <w:pPr>
        <w:tabs>
          <w:tab w:val="num" w:pos="4320"/>
        </w:tabs>
        <w:ind w:left="4320" w:hanging="360"/>
      </w:pPr>
      <w:rPr>
        <w:rFonts w:ascii="Wingdings" w:hAnsi="Wingdings" w:hint="default"/>
      </w:rPr>
    </w:lvl>
    <w:lvl w:ilvl="6" w:tplc="6396E5C8" w:tentative="1">
      <w:start w:val="1"/>
      <w:numFmt w:val="bullet"/>
      <w:lvlText w:val=""/>
      <w:lvlJc w:val="left"/>
      <w:pPr>
        <w:tabs>
          <w:tab w:val="num" w:pos="5040"/>
        </w:tabs>
        <w:ind w:left="5040" w:hanging="360"/>
      </w:pPr>
      <w:rPr>
        <w:rFonts w:ascii="Wingdings" w:hAnsi="Wingdings" w:hint="default"/>
      </w:rPr>
    </w:lvl>
    <w:lvl w:ilvl="7" w:tplc="EBCE06D2" w:tentative="1">
      <w:start w:val="1"/>
      <w:numFmt w:val="bullet"/>
      <w:lvlText w:val=""/>
      <w:lvlJc w:val="left"/>
      <w:pPr>
        <w:tabs>
          <w:tab w:val="num" w:pos="5760"/>
        </w:tabs>
        <w:ind w:left="5760" w:hanging="360"/>
      </w:pPr>
      <w:rPr>
        <w:rFonts w:ascii="Wingdings" w:hAnsi="Wingdings" w:hint="default"/>
      </w:rPr>
    </w:lvl>
    <w:lvl w:ilvl="8" w:tplc="0BB8D06C" w:tentative="1">
      <w:start w:val="1"/>
      <w:numFmt w:val="bullet"/>
      <w:lvlText w:val=""/>
      <w:lvlJc w:val="left"/>
      <w:pPr>
        <w:tabs>
          <w:tab w:val="num" w:pos="6480"/>
        </w:tabs>
        <w:ind w:left="6480" w:hanging="360"/>
      </w:pPr>
      <w:rPr>
        <w:rFonts w:ascii="Wingdings" w:hAnsi="Wingdings" w:hint="default"/>
      </w:rPr>
    </w:lvl>
  </w:abstractNum>
  <w:abstractNum w:abstractNumId="1">
    <w:nsid w:val="0B3F1104"/>
    <w:multiLevelType w:val="hybridMultilevel"/>
    <w:tmpl w:val="C0B0C4FA"/>
    <w:lvl w:ilvl="0" w:tplc="7018DDF0">
      <w:start w:val="1"/>
      <w:numFmt w:val="decimal"/>
      <w:lvlText w:val="%1."/>
      <w:lvlJc w:val="left"/>
      <w:pPr>
        <w:ind w:left="1412" w:hanging="852"/>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0E767FCC"/>
    <w:multiLevelType w:val="hybridMultilevel"/>
    <w:tmpl w:val="1278F12E"/>
    <w:lvl w:ilvl="0" w:tplc="F5D4913C">
      <w:start w:val="1"/>
      <w:numFmt w:val="bullet"/>
      <w:lvlText w:val="•"/>
      <w:lvlJc w:val="left"/>
      <w:pPr>
        <w:tabs>
          <w:tab w:val="num" w:pos="720"/>
        </w:tabs>
        <w:ind w:left="720" w:hanging="360"/>
      </w:pPr>
      <w:rPr>
        <w:rFonts w:ascii="宋体" w:eastAsia="宋体" w:hint="default"/>
      </w:rPr>
    </w:lvl>
    <w:lvl w:ilvl="1" w:tplc="48020880" w:tentative="1">
      <w:start w:val="1"/>
      <w:numFmt w:val="bullet"/>
      <w:lvlText w:val="•"/>
      <w:lvlJc w:val="left"/>
      <w:pPr>
        <w:tabs>
          <w:tab w:val="num" w:pos="1440"/>
        </w:tabs>
        <w:ind w:left="1440" w:hanging="360"/>
      </w:pPr>
      <w:rPr>
        <w:rFonts w:ascii="宋体" w:eastAsia="宋体" w:hint="default"/>
      </w:rPr>
    </w:lvl>
    <w:lvl w:ilvl="2" w:tplc="651C3FD6" w:tentative="1">
      <w:start w:val="1"/>
      <w:numFmt w:val="bullet"/>
      <w:lvlText w:val="•"/>
      <w:lvlJc w:val="left"/>
      <w:pPr>
        <w:tabs>
          <w:tab w:val="num" w:pos="2160"/>
        </w:tabs>
        <w:ind w:left="2160" w:hanging="360"/>
      </w:pPr>
      <w:rPr>
        <w:rFonts w:ascii="宋体" w:eastAsia="宋体" w:hint="default"/>
      </w:rPr>
    </w:lvl>
    <w:lvl w:ilvl="3" w:tplc="54E2E728" w:tentative="1">
      <w:start w:val="1"/>
      <w:numFmt w:val="bullet"/>
      <w:lvlText w:val="•"/>
      <w:lvlJc w:val="left"/>
      <w:pPr>
        <w:tabs>
          <w:tab w:val="num" w:pos="2880"/>
        </w:tabs>
        <w:ind w:left="2880" w:hanging="360"/>
      </w:pPr>
      <w:rPr>
        <w:rFonts w:ascii="宋体" w:eastAsia="宋体" w:hint="default"/>
      </w:rPr>
    </w:lvl>
    <w:lvl w:ilvl="4" w:tplc="7FFA290E" w:tentative="1">
      <w:start w:val="1"/>
      <w:numFmt w:val="bullet"/>
      <w:lvlText w:val="•"/>
      <w:lvlJc w:val="left"/>
      <w:pPr>
        <w:tabs>
          <w:tab w:val="num" w:pos="3600"/>
        </w:tabs>
        <w:ind w:left="3600" w:hanging="360"/>
      </w:pPr>
      <w:rPr>
        <w:rFonts w:ascii="宋体" w:eastAsia="宋体" w:hint="default"/>
      </w:rPr>
    </w:lvl>
    <w:lvl w:ilvl="5" w:tplc="51A2027E" w:tentative="1">
      <w:start w:val="1"/>
      <w:numFmt w:val="bullet"/>
      <w:lvlText w:val="•"/>
      <w:lvlJc w:val="left"/>
      <w:pPr>
        <w:tabs>
          <w:tab w:val="num" w:pos="4320"/>
        </w:tabs>
        <w:ind w:left="4320" w:hanging="360"/>
      </w:pPr>
      <w:rPr>
        <w:rFonts w:ascii="宋体" w:eastAsia="宋体" w:hint="default"/>
      </w:rPr>
    </w:lvl>
    <w:lvl w:ilvl="6" w:tplc="0478AF28" w:tentative="1">
      <w:start w:val="1"/>
      <w:numFmt w:val="bullet"/>
      <w:lvlText w:val="•"/>
      <w:lvlJc w:val="left"/>
      <w:pPr>
        <w:tabs>
          <w:tab w:val="num" w:pos="5040"/>
        </w:tabs>
        <w:ind w:left="5040" w:hanging="360"/>
      </w:pPr>
      <w:rPr>
        <w:rFonts w:ascii="宋体" w:eastAsia="宋体" w:hint="default"/>
      </w:rPr>
    </w:lvl>
    <w:lvl w:ilvl="7" w:tplc="391E9DBE" w:tentative="1">
      <w:start w:val="1"/>
      <w:numFmt w:val="bullet"/>
      <w:lvlText w:val="•"/>
      <w:lvlJc w:val="left"/>
      <w:pPr>
        <w:tabs>
          <w:tab w:val="num" w:pos="5760"/>
        </w:tabs>
        <w:ind w:left="5760" w:hanging="360"/>
      </w:pPr>
      <w:rPr>
        <w:rFonts w:ascii="宋体" w:eastAsia="宋体" w:hint="default"/>
      </w:rPr>
    </w:lvl>
    <w:lvl w:ilvl="8" w:tplc="17266FA6" w:tentative="1">
      <w:start w:val="1"/>
      <w:numFmt w:val="bullet"/>
      <w:lvlText w:val="•"/>
      <w:lvlJc w:val="left"/>
      <w:pPr>
        <w:tabs>
          <w:tab w:val="num" w:pos="6480"/>
        </w:tabs>
        <w:ind w:left="6480" w:hanging="360"/>
      </w:pPr>
      <w:rPr>
        <w:rFonts w:ascii="宋体" w:eastAsia="宋体" w:hint="default"/>
      </w:rPr>
    </w:lvl>
  </w:abstractNum>
  <w:abstractNum w:abstractNumId="3">
    <w:nsid w:val="0F4F7C6E"/>
    <w:multiLevelType w:val="hybridMultilevel"/>
    <w:tmpl w:val="D37A9470"/>
    <w:lvl w:ilvl="0" w:tplc="057A736A">
      <w:start w:val="1"/>
      <w:numFmt w:val="bullet"/>
      <w:lvlText w:val=""/>
      <w:lvlJc w:val="left"/>
      <w:pPr>
        <w:tabs>
          <w:tab w:val="num" w:pos="720"/>
        </w:tabs>
        <w:ind w:left="720" w:hanging="360"/>
      </w:pPr>
      <w:rPr>
        <w:rFonts w:ascii="Wingdings" w:hAnsi="Wingdings" w:hint="default"/>
      </w:rPr>
    </w:lvl>
    <w:lvl w:ilvl="1" w:tplc="32A08718" w:tentative="1">
      <w:start w:val="1"/>
      <w:numFmt w:val="bullet"/>
      <w:lvlText w:val=""/>
      <w:lvlJc w:val="left"/>
      <w:pPr>
        <w:tabs>
          <w:tab w:val="num" w:pos="1440"/>
        </w:tabs>
        <w:ind w:left="1440" w:hanging="360"/>
      </w:pPr>
      <w:rPr>
        <w:rFonts w:ascii="Wingdings" w:hAnsi="Wingdings" w:hint="default"/>
      </w:rPr>
    </w:lvl>
    <w:lvl w:ilvl="2" w:tplc="449ECCC2" w:tentative="1">
      <w:start w:val="1"/>
      <w:numFmt w:val="bullet"/>
      <w:lvlText w:val=""/>
      <w:lvlJc w:val="left"/>
      <w:pPr>
        <w:tabs>
          <w:tab w:val="num" w:pos="2160"/>
        </w:tabs>
        <w:ind w:left="2160" w:hanging="360"/>
      </w:pPr>
      <w:rPr>
        <w:rFonts w:ascii="Wingdings" w:hAnsi="Wingdings" w:hint="default"/>
      </w:rPr>
    </w:lvl>
    <w:lvl w:ilvl="3" w:tplc="B5CCECFC" w:tentative="1">
      <w:start w:val="1"/>
      <w:numFmt w:val="bullet"/>
      <w:lvlText w:val=""/>
      <w:lvlJc w:val="left"/>
      <w:pPr>
        <w:tabs>
          <w:tab w:val="num" w:pos="2880"/>
        </w:tabs>
        <w:ind w:left="2880" w:hanging="360"/>
      </w:pPr>
      <w:rPr>
        <w:rFonts w:ascii="Wingdings" w:hAnsi="Wingdings" w:hint="default"/>
      </w:rPr>
    </w:lvl>
    <w:lvl w:ilvl="4" w:tplc="35D8F59E" w:tentative="1">
      <w:start w:val="1"/>
      <w:numFmt w:val="bullet"/>
      <w:lvlText w:val=""/>
      <w:lvlJc w:val="left"/>
      <w:pPr>
        <w:tabs>
          <w:tab w:val="num" w:pos="3600"/>
        </w:tabs>
        <w:ind w:left="3600" w:hanging="360"/>
      </w:pPr>
      <w:rPr>
        <w:rFonts w:ascii="Wingdings" w:hAnsi="Wingdings" w:hint="default"/>
      </w:rPr>
    </w:lvl>
    <w:lvl w:ilvl="5" w:tplc="5A421380" w:tentative="1">
      <w:start w:val="1"/>
      <w:numFmt w:val="bullet"/>
      <w:lvlText w:val=""/>
      <w:lvlJc w:val="left"/>
      <w:pPr>
        <w:tabs>
          <w:tab w:val="num" w:pos="4320"/>
        </w:tabs>
        <w:ind w:left="4320" w:hanging="360"/>
      </w:pPr>
      <w:rPr>
        <w:rFonts w:ascii="Wingdings" w:hAnsi="Wingdings" w:hint="default"/>
      </w:rPr>
    </w:lvl>
    <w:lvl w:ilvl="6" w:tplc="8196E1EA" w:tentative="1">
      <w:start w:val="1"/>
      <w:numFmt w:val="bullet"/>
      <w:lvlText w:val=""/>
      <w:lvlJc w:val="left"/>
      <w:pPr>
        <w:tabs>
          <w:tab w:val="num" w:pos="5040"/>
        </w:tabs>
        <w:ind w:left="5040" w:hanging="360"/>
      </w:pPr>
      <w:rPr>
        <w:rFonts w:ascii="Wingdings" w:hAnsi="Wingdings" w:hint="default"/>
      </w:rPr>
    </w:lvl>
    <w:lvl w:ilvl="7" w:tplc="745EB6D4" w:tentative="1">
      <w:start w:val="1"/>
      <w:numFmt w:val="bullet"/>
      <w:lvlText w:val=""/>
      <w:lvlJc w:val="left"/>
      <w:pPr>
        <w:tabs>
          <w:tab w:val="num" w:pos="5760"/>
        </w:tabs>
        <w:ind w:left="5760" w:hanging="360"/>
      </w:pPr>
      <w:rPr>
        <w:rFonts w:ascii="Wingdings" w:hAnsi="Wingdings" w:hint="default"/>
      </w:rPr>
    </w:lvl>
    <w:lvl w:ilvl="8" w:tplc="7EA4D794" w:tentative="1">
      <w:start w:val="1"/>
      <w:numFmt w:val="bullet"/>
      <w:lvlText w:val=""/>
      <w:lvlJc w:val="left"/>
      <w:pPr>
        <w:tabs>
          <w:tab w:val="num" w:pos="6480"/>
        </w:tabs>
        <w:ind w:left="6480" w:hanging="360"/>
      </w:pPr>
      <w:rPr>
        <w:rFonts w:ascii="Wingdings" w:hAnsi="Wingdings" w:hint="default"/>
      </w:rPr>
    </w:lvl>
  </w:abstractNum>
  <w:abstractNum w:abstractNumId="4">
    <w:nsid w:val="131E22CA"/>
    <w:multiLevelType w:val="hybridMultilevel"/>
    <w:tmpl w:val="44E09BCA"/>
    <w:lvl w:ilvl="0" w:tplc="78F619AE">
      <w:start w:val="1"/>
      <w:numFmt w:val="japaneseCounting"/>
      <w:lvlText w:val="（%1）"/>
      <w:lvlJc w:val="left"/>
      <w:pPr>
        <w:ind w:left="1426" w:hanging="864"/>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5">
    <w:nsid w:val="132C3821"/>
    <w:multiLevelType w:val="hybridMultilevel"/>
    <w:tmpl w:val="FF58A052"/>
    <w:lvl w:ilvl="0" w:tplc="F62234E2">
      <w:start w:val="1"/>
      <w:numFmt w:val="bullet"/>
      <w:lvlText w:val=""/>
      <w:lvlJc w:val="left"/>
      <w:pPr>
        <w:tabs>
          <w:tab w:val="num" w:pos="720"/>
        </w:tabs>
        <w:ind w:left="720" w:hanging="360"/>
      </w:pPr>
      <w:rPr>
        <w:rFonts w:ascii="Wingdings" w:hAnsi="Wingdings" w:hint="default"/>
      </w:rPr>
    </w:lvl>
    <w:lvl w:ilvl="1" w:tplc="34283238" w:tentative="1">
      <w:start w:val="1"/>
      <w:numFmt w:val="bullet"/>
      <w:lvlText w:val=""/>
      <w:lvlJc w:val="left"/>
      <w:pPr>
        <w:tabs>
          <w:tab w:val="num" w:pos="1440"/>
        </w:tabs>
        <w:ind w:left="1440" w:hanging="360"/>
      </w:pPr>
      <w:rPr>
        <w:rFonts w:ascii="Wingdings" w:hAnsi="Wingdings" w:hint="default"/>
      </w:rPr>
    </w:lvl>
    <w:lvl w:ilvl="2" w:tplc="FDEA94A2" w:tentative="1">
      <w:start w:val="1"/>
      <w:numFmt w:val="bullet"/>
      <w:lvlText w:val=""/>
      <w:lvlJc w:val="left"/>
      <w:pPr>
        <w:tabs>
          <w:tab w:val="num" w:pos="2160"/>
        </w:tabs>
        <w:ind w:left="2160" w:hanging="360"/>
      </w:pPr>
      <w:rPr>
        <w:rFonts w:ascii="Wingdings" w:hAnsi="Wingdings" w:hint="default"/>
      </w:rPr>
    </w:lvl>
    <w:lvl w:ilvl="3" w:tplc="751C5730" w:tentative="1">
      <w:start w:val="1"/>
      <w:numFmt w:val="bullet"/>
      <w:lvlText w:val=""/>
      <w:lvlJc w:val="left"/>
      <w:pPr>
        <w:tabs>
          <w:tab w:val="num" w:pos="2880"/>
        </w:tabs>
        <w:ind w:left="2880" w:hanging="360"/>
      </w:pPr>
      <w:rPr>
        <w:rFonts w:ascii="Wingdings" w:hAnsi="Wingdings" w:hint="default"/>
      </w:rPr>
    </w:lvl>
    <w:lvl w:ilvl="4" w:tplc="473C5838" w:tentative="1">
      <w:start w:val="1"/>
      <w:numFmt w:val="bullet"/>
      <w:lvlText w:val=""/>
      <w:lvlJc w:val="left"/>
      <w:pPr>
        <w:tabs>
          <w:tab w:val="num" w:pos="3600"/>
        </w:tabs>
        <w:ind w:left="3600" w:hanging="360"/>
      </w:pPr>
      <w:rPr>
        <w:rFonts w:ascii="Wingdings" w:hAnsi="Wingdings" w:hint="default"/>
      </w:rPr>
    </w:lvl>
    <w:lvl w:ilvl="5" w:tplc="ECB690A6" w:tentative="1">
      <w:start w:val="1"/>
      <w:numFmt w:val="bullet"/>
      <w:lvlText w:val=""/>
      <w:lvlJc w:val="left"/>
      <w:pPr>
        <w:tabs>
          <w:tab w:val="num" w:pos="4320"/>
        </w:tabs>
        <w:ind w:left="4320" w:hanging="360"/>
      </w:pPr>
      <w:rPr>
        <w:rFonts w:ascii="Wingdings" w:hAnsi="Wingdings" w:hint="default"/>
      </w:rPr>
    </w:lvl>
    <w:lvl w:ilvl="6" w:tplc="D7740BCC" w:tentative="1">
      <w:start w:val="1"/>
      <w:numFmt w:val="bullet"/>
      <w:lvlText w:val=""/>
      <w:lvlJc w:val="left"/>
      <w:pPr>
        <w:tabs>
          <w:tab w:val="num" w:pos="5040"/>
        </w:tabs>
        <w:ind w:left="5040" w:hanging="360"/>
      </w:pPr>
      <w:rPr>
        <w:rFonts w:ascii="Wingdings" w:hAnsi="Wingdings" w:hint="default"/>
      </w:rPr>
    </w:lvl>
    <w:lvl w:ilvl="7" w:tplc="11822426" w:tentative="1">
      <w:start w:val="1"/>
      <w:numFmt w:val="bullet"/>
      <w:lvlText w:val=""/>
      <w:lvlJc w:val="left"/>
      <w:pPr>
        <w:tabs>
          <w:tab w:val="num" w:pos="5760"/>
        </w:tabs>
        <w:ind w:left="5760" w:hanging="360"/>
      </w:pPr>
      <w:rPr>
        <w:rFonts w:ascii="Wingdings" w:hAnsi="Wingdings" w:hint="default"/>
      </w:rPr>
    </w:lvl>
    <w:lvl w:ilvl="8" w:tplc="3B5468F4" w:tentative="1">
      <w:start w:val="1"/>
      <w:numFmt w:val="bullet"/>
      <w:lvlText w:val=""/>
      <w:lvlJc w:val="left"/>
      <w:pPr>
        <w:tabs>
          <w:tab w:val="num" w:pos="6480"/>
        </w:tabs>
        <w:ind w:left="6480" w:hanging="360"/>
      </w:pPr>
      <w:rPr>
        <w:rFonts w:ascii="Wingdings" w:hAnsi="Wingdings" w:hint="default"/>
      </w:rPr>
    </w:lvl>
  </w:abstractNum>
  <w:abstractNum w:abstractNumId="6">
    <w:nsid w:val="16253890"/>
    <w:multiLevelType w:val="hybridMultilevel"/>
    <w:tmpl w:val="465E16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6C7779E"/>
    <w:multiLevelType w:val="hybridMultilevel"/>
    <w:tmpl w:val="7F3E131E"/>
    <w:lvl w:ilvl="0" w:tplc="CBCE28F6">
      <w:start w:val="1"/>
      <w:numFmt w:val="bullet"/>
      <w:lvlText w:val=""/>
      <w:lvlJc w:val="left"/>
      <w:pPr>
        <w:tabs>
          <w:tab w:val="num" w:pos="720"/>
        </w:tabs>
        <w:ind w:left="720" w:hanging="360"/>
      </w:pPr>
      <w:rPr>
        <w:rFonts w:ascii="Wingdings" w:hAnsi="Wingdings" w:hint="default"/>
      </w:rPr>
    </w:lvl>
    <w:lvl w:ilvl="1" w:tplc="AB9048D4" w:tentative="1">
      <w:start w:val="1"/>
      <w:numFmt w:val="bullet"/>
      <w:lvlText w:val=""/>
      <w:lvlJc w:val="left"/>
      <w:pPr>
        <w:tabs>
          <w:tab w:val="num" w:pos="1440"/>
        </w:tabs>
        <w:ind w:left="1440" w:hanging="360"/>
      </w:pPr>
      <w:rPr>
        <w:rFonts w:ascii="Wingdings" w:hAnsi="Wingdings" w:hint="default"/>
      </w:rPr>
    </w:lvl>
    <w:lvl w:ilvl="2" w:tplc="4CA00D4E" w:tentative="1">
      <w:start w:val="1"/>
      <w:numFmt w:val="bullet"/>
      <w:lvlText w:val=""/>
      <w:lvlJc w:val="left"/>
      <w:pPr>
        <w:tabs>
          <w:tab w:val="num" w:pos="2160"/>
        </w:tabs>
        <w:ind w:left="2160" w:hanging="360"/>
      </w:pPr>
      <w:rPr>
        <w:rFonts w:ascii="Wingdings" w:hAnsi="Wingdings" w:hint="default"/>
      </w:rPr>
    </w:lvl>
    <w:lvl w:ilvl="3" w:tplc="B7467DFA" w:tentative="1">
      <w:start w:val="1"/>
      <w:numFmt w:val="bullet"/>
      <w:lvlText w:val=""/>
      <w:lvlJc w:val="left"/>
      <w:pPr>
        <w:tabs>
          <w:tab w:val="num" w:pos="2880"/>
        </w:tabs>
        <w:ind w:left="2880" w:hanging="360"/>
      </w:pPr>
      <w:rPr>
        <w:rFonts w:ascii="Wingdings" w:hAnsi="Wingdings" w:hint="default"/>
      </w:rPr>
    </w:lvl>
    <w:lvl w:ilvl="4" w:tplc="5DF4BD78" w:tentative="1">
      <w:start w:val="1"/>
      <w:numFmt w:val="bullet"/>
      <w:lvlText w:val=""/>
      <w:lvlJc w:val="left"/>
      <w:pPr>
        <w:tabs>
          <w:tab w:val="num" w:pos="3600"/>
        </w:tabs>
        <w:ind w:left="3600" w:hanging="360"/>
      </w:pPr>
      <w:rPr>
        <w:rFonts w:ascii="Wingdings" w:hAnsi="Wingdings" w:hint="default"/>
      </w:rPr>
    </w:lvl>
    <w:lvl w:ilvl="5" w:tplc="16B6C7DC" w:tentative="1">
      <w:start w:val="1"/>
      <w:numFmt w:val="bullet"/>
      <w:lvlText w:val=""/>
      <w:lvlJc w:val="left"/>
      <w:pPr>
        <w:tabs>
          <w:tab w:val="num" w:pos="4320"/>
        </w:tabs>
        <w:ind w:left="4320" w:hanging="360"/>
      </w:pPr>
      <w:rPr>
        <w:rFonts w:ascii="Wingdings" w:hAnsi="Wingdings" w:hint="default"/>
      </w:rPr>
    </w:lvl>
    <w:lvl w:ilvl="6" w:tplc="E40E70F2" w:tentative="1">
      <w:start w:val="1"/>
      <w:numFmt w:val="bullet"/>
      <w:lvlText w:val=""/>
      <w:lvlJc w:val="left"/>
      <w:pPr>
        <w:tabs>
          <w:tab w:val="num" w:pos="5040"/>
        </w:tabs>
        <w:ind w:left="5040" w:hanging="360"/>
      </w:pPr>
      <w:rPr>
        <w:rFonts w:ascii="Wingdings" w:hAnsi="Wingdings" w:hint="default"/>
      </w:rPr>
    </w:lvl>
    <w:lvl w:ilvl="7" w:tplc="7E9CC68A" w:tentative="1">
      <w:start w:val="1"/>
      <w:numFmt w:val="bullet"/>
      <w:lvlText w:val=""/>
      <w:lvlJc w:val="left"/>
      <w:pPr>
        <w:tabs>
          <w:tab w:val="num" w:pos="5760"/>
        </w:tabs>
        <w:ind w:left="5760" w:hanging="360"/>
      </w:pPr>
      <w:rPr>
        <w:rFonts w:ascii="Wingdings" w:hAnsi="Wingdings" w:hint="default"/>
      </w:rPr>
    </w:lvl>
    <w:lvl w:ilvl="8" w:tplc="2AF0A65A" w:tentative="1">
      <w:start w:val="1"/>
      <w:numFmt w:val="bullet"/>
      <w:lvlText w:val=""/>
      <w:lvlJc w:val="left"/>
      <w:pPr>
        <w:tabs>
          <w:tab w:val="num" w:pos="6480"/>
        </w:tabs>
        <w:ind w:left="6480" w:hanging="360"/>
      </w:pPr>
      <w:rPr>
        <w:rFonts w:ascii="Wingdings" w:hAnsi="Wingdings" w:hint="default"/>
      </w:rPr>
    </w:lvl>
  </w:abstractNum>
  <w:abstractNum w:abstractNumId="8">
    <w:nsid w:val="1A9505D4"/>
    <w:multiLevelType w:val="hybridMultilevel"/>
    <w:tmpl w:val="9556A2AA"/>
    <w:lvl w:ilvl="0" w:tplc="9BDCB99E">
      <w:start w:val="1"/>
      <w:numFmt w:val="japaneseCounting"/>
      <w:lvlText w:val="（%1）"/>
      <w:lvlJc w:val="left"/>
      <w:pPr>
        <w:ind w:left="1424" w:hanging="864"/>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9">
    <w:nsid w:val="1B791AF4"/>
    <w:multiLevelType w:val="hybridMultilevel"/>
    <w:tmpl w:val="F06ABDFE"/>
    <w:lvl w:ilvl="0" w:tplc="FA461A6C">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0">
    <w:nsid w:val="1BEE2157"/>
    <w:multiLevelType w:val="hybridMultilevel"/>
    <w:tmpl w:val="63EA9168"/>
    <w:lvl w:ilvl="0" w:tplc="AB8EEC26">
      <w:start w:val="1"/>
      <w:numFmt w:val="bullet"/>
      <w:lvlText w:val="•"/>
      <w:lvlJc w:val="left"/>
      <w:pPr>
        <w:tabs>
          <w:tab w:val="num" w:pos="720"/>
        </w:tabs>
        <w:ind w:left="720" w:hanging="360"/>
      </w:pPr>
      <w:rPr>
        <w:rFonts w:ascii="Arial" w:hAnsi="Arial" w:hint="default"/>
      </w:rPr>
    </w:lvl>
    <w:lvl w:ilvl="1" w:tplc="05501360" w:tentative="1">
      <w:start w:val="1"/>
      <w:numFmt w:val="bullet"/>
      <w:lvlText w:val="•"/>
      <w:lvlJc w:val="left"/>
      <w:pPr>
        <w:tabs>
          <w:tab w:val="num" w:pos="1440"/>
        </w:tabs>
        <w:ind w:left="1440" w:hanging="360"/>
      </w:pPr>
      <w:rPr>
        <w:rFonts w:ascii="Arial" w:hAnsi="Arial" w:hint="default"/>
      </w:rPr>
    </w:lvl>
    <w:lvl w:ilvl="2" w:tplc="AB08052A" w:tentative="1">
      <w:start w:val="1"/>
      <w:numFmt w:val="bullet"/>
      <w:lvlText w:val="•"/>
      <w:lvlJc w:val="left"/>
      <w:pPr>
        <w:tabs>
          <w:tab w:val="num" w:pos="2160"/>
        </w:tabs>
        <w:ind w:left="2160" w:hanging="360"/>
      </w:pPr>
      <w:rPr>
        <w:rFonts w:ascii="Arial" w:hAnsi="Arial" w:hint="default"/>
      </w:rPr>
    </w:lvl>
    <w:lvl w:ilvl="3" w:tplc="565A1E54" w:tentative="1">
      <w:start w:val="1"/>
      <w:numFmt w:val="bullet"/>
      <w:lvlText w:val="•"/>
      <w:lvlJc w:val="left"/>
      <w:pPr>
        <w:tabs>
          <w:tab w:val="num" w:pos="2880"/>
        </w:tabs>
        <w:ind w:left="2880" w:hanging="360"/>
      </w:pPr>
      <w:rPr>
        <w:rFonts w:ascii="Arial" w:hAnsi="Arial" w:hint="default"/>
      </w:rPr>
    </w:lvl>
    <w:lvl w:ilvl="4" w:tplc="0762AF9E" w:tentative="1">
      <w:start w:val="1"/>
      <w:numFmt w:val="bullet"/>
      <w:lvlText w:val="•"/>
      <w:lvlJc w:val="left"/>
      <w:pPr>
        <w:tabs>
          <w:tab w:val="num" w:pos="3600"/>
        </w:tabs>
        <w:ind w:left="3600" w:hanging="360"/>
      </w:pPr>
      <w:rPr>
        <w:rFonts w:ascii="Arial" w:hAnsi="Arial" w:hint="default"/>
      </w:rPr>
    </w:lvl>
    <w:lvl w:ilvl="5" w:tplc="C5003302" w:tentative="1">
      <w:start w:val="1"/>
      <w:numFmt w:val="bullet"/>
      <w:lvlText w:val="•"/>
      <w:lvlJc w:val="left"/>
      <w:pPr>
        <w:tabs>
          <w:tab w:val="num" w:pos="4320"/>
        </w:tabs>
        <w:ind w:left="4320" w:hanging="360"/>
      </w:pPr>
      <w:rPr>
        <w:rFonts w:ascii="Arial" w:hAnsi="Arial" w:hint="default"/>
      </w:rPr>
    </w:lvl>
    <w:lvl w:ilvl="6" w:tplc="57445BD4" w:tentative="1">
      <w:start w:val="1"/>
      <w:numFmt w:val="bullet"/>
      <w:lvlText w:val="•"/>
      <w:lvlJc w:val="left"/>
      <w:pPr>
        <w:tabs>
          <w:tab w:val="num" w:pos="5040"/>
        </w:tabs>
        <w:ind w:left="5040" w:hanging="360"/>
      </w:pPr>
      <w:rPr>
        <w:rFonts w:ascii="Arial" w:hAnsi="Arial" w:hint="default"/>
      </w:rPr>
    </w:lvl>
    <w:lvl w:ilvl="7" w:tplc="4EF0C9EA" w:tentative="1">
      <w:start w:val="1"/>
      <w:numFmt w:val="bullet"/>
      <w:lvlText w:val="•"/>
      <w:lvlJc w:val="left"/>
      <w:pPr>
        <w:tabs>
          <w:tab w:val="num" w:pos="5760"/>
        </w:tabs>
        <w:ind w:left="5760" w:hanging="360"/>
      </w:pPr>
      <w:rPr>
        <w:rFonts w:ascii="Arial" w:hAnsi="Arial" w:hint="default"/>
      </w:rPr>
    </w:lvl>
    <w:lvl w:ilvl="8" w:tplc="8DCC6BA6" w:tentative="1">
      <w:start w:val="1"/>
      <w:numFmt w:val="bullet"/>
      <w:lvlText w:val="•"/>
      <w:lvlJc w:val="left"/>
      <w:pPr>
        <w:tabs>
          <w:tab w:val="num" w:pos="6480"/>
        </w:tabs>
        <w:ind w:left="6480" w:hanging="360"/>
      </w:pPr>
      <w:rPr>
        <w:rFonts w:ascii="Arial" w:hAnsi="Arial" w:hint="default"/>
      </w:rPr>
    </w:lvl>
  </w:abstractNum>
  <w:abstractNum w:abstractNumId="11">
    <w:nsid w:val="1FC74192"/>
    <w:multiLevelType w:val="hybridMultilevel"/>
    <w:tmpl w:val="6868F40C"/>
    <w:lvl w:ilvl="0" w:tplc="15047830">
      <w:start w:val="1"/>
      <w:numFmt w:val="bullet"/>
      <w:lvlText w:val="•"/>
      <w:lvlJc w:val="left"/>
      <w:pPr>
        <w:tabs>
          <w:tab w:val="num" w:pos="720"/>
        </w:tabs>
        <w:ind w:left="720" w:hanging="360"/>
      </w:pPr>
      <w:rPr>
        <w:rFonts w:ascii="宋体" w:eastAsia="宋体" w:hint="default"/>
      </w:rPr>
    </w:lvl>
    <w:lvl w:ilvl="1" w:tplc="3990CCE6" w:tentative="1">
      <w:start w:val="1"/>
      <w:numFmt w:val="bullet"/>
      <w:lvlText w:val="•"/>
      <w:lvlJc w:val="left"/>
      <w:pPr>
        <w:tabs>
          <w:tab w:val="num" w:pos="1440"/>
        </w:tabs>
        <w:ind w:left="1440" w:hanging="360"/>
      </w:pPr>
      <w:rPr>
        <w:rFonts w:ascii="宋体" w:eastAsia="宋体" w:hint="default"/>
      </w:rPr>
    </w:lvl>
    <w:lvl w:ilvl="2" w:tplc="3ED831FA" w:tentative="1">
      <w:start w:val="1"/>
      <w:numFmt w:val="bullet"/>
      <w:lvlText w:val="•"/>
      <w:lvlJc w:val="left"/>
      <w:pPr>
        <w:tabs>
          <w:tab w:val="num" w:pos="2160"/>
        </w:tabs>
        <w:ind w:left="2160" w:hanging="360"/>
      </w:pPr>
      <w:rPr>
        <w:rFonts w:ascii="宋体" w:eastAsia="宋体" w:hint="default"/>
      </w:rPr>
    </w:lvl>
    <w:lvl w:ilvl="3" w:tplc="A2B21232" w:tentative="1">
      <w:start w:val="1"/>
      <w:numFmt w:val="bullet"/>
      <w:lvlText w:val="•"/>
      <w:lvlJc w:val="left"/>
      <w:pPr>
        <w:tabs>
          <w:tab w:val="num" w:pos="2880"/>
        </w:tabs>
        <w:ind w:left="2880" w:hanging="360"/>
      </w:pPr>
      <w:rPr>
        <w:rFonts w:ascii="宋体" w:eastAsia="宋体" w:hint="default"/>
      </w:rPr>
    </w:lvl>
    <w:lvl w:ilvl="4" w:tplc="7F345556" w:tentative="1">
      <w:start w:val="1"/>
      <w:numFmt w:val="bullet"/>
      <w:lvlText w:val="•"/>
      <w:lvlJc w:val="left"/>
      <w:pPr>
        <w:tabs>
          <w:tab w:val="num" w:pos="3600"/>
        </w:tabs>
        <w:ind w:left="3600" w:hanging="360"/>
      </w:pPr>
      <w:rPr>
        <w:rFonts w:ascii="宋体" w:eastAsia="宋体" w:hint="default"/>
      </w:rPr>
    </w:lvl>
    <w:lvl w:ilvl="5" w:tplc="3FC011E0" w:tentative="1">
      <w:start w:val="1"/>
      <w:numFmt w:val="bullet"/>
      <w:lvlText w:val="•"/>
      <w:lvlJc w:val="left"/>
      <w:pPr>
        <w:tabs>
          <w:tab w:val="num" w:pos="4320"/>
        </w:tabs>
        <w:ind w:left="4320" w:hanging="360"/>
      </w:pPr>
      <w:rPr>
        <w:rFonts w:ascii="宋体" w:eastAsia="宋体" w:hint="default"/>
      </w:rPr>
    </w:lvl>
    <w:lvl w:ilvl="6" w:tplc="0F2670F4" w:tentative="1">
      <w:start w:val="1"/>
      <w:numFmt w:val="bullet"/>
      <w:lvlText w:val="•"/>
      <w:lvlJc w:val="left"/>
      <w:pPr>
        <w:tabs>
          <w:tab w:val="num" w:pos="5040"/>
        </w:tabs>
        <w:ind w:left="5040" w:hanging="360"/>
      </w:pPr>
      <w:rPr>
        <w:rFonts w:ascii="宋体" w:eastAsia="宋体" w:hint="default"/>
      </w:rPr>
    </w:lvl>
    <w:lvl w:ilvl="7" w:tplc="BF24828A" w:tentative="1">
      <w:start w:val="1"/>
      <w:numFmt w:val="bullet"/>
      <w:lvlText w:val="•"/>
      <w:lvlJc w:val="left"/>
      <w:pPr>
        <w:tabs>
          <w:tab w:val="num" w:pos="5760"/>
        </w:tabs>
        <w:ind w:left="5760" w:hanging="360"/>
      </w:pPr>
      <w:rPr>
        <w:rFonts w:ascii="宋体" w:eastAsia="宋体" w:hint="default"/>
      </w:rPr>
    </w:lvl>
    <w:lvl w:ilvl="8" w:tplc="6802B580" w:tentative="1">
      <w:start w:val="1"/>
      <w:numFmt w:val="bullet"/>
      <w:lvlText w:val="•"/>
      <w:lvlJc w:val="left"/>
      <w:pPr>
        <w:tabs>
          <w:tab w:val="num" w:pos="6480"/>
        </w:tabs>
        <w:ind w:left="6480" w:hanging="360"/>
      </w:pPr>
      <w:rPr>
        <w:rFonts w:ascii="宋体" w:eastAsia="宋体" w:hint="default"/>
      </w:rPr>
    </w:lvl>
  </w:abstractNum>
  <w:abstractNum w:abstractNumId="12">
    <w:nsid w:val="1FF23D82"/>
    <w:multiLevelType w:val="hybridMultilevel"/>
    <w:tmpl w:val="E67EEB6E"/>
    <w:lvl w:ilvl="0" w:tplc="69C876B8">
      <w:start w:val="1"/>
      <w:numFmt w:val="bullet"/>
      <w:lvlText w:val="•"/>
      <w:lvlJc w:val="left"/>
      <w:pPr>
        <w:tabs>
          <w:tab w:val="num" w:pos="720"/>
        </w:tabs>
        <w:ind w:left="720" w:hanging="360"/>
      </w:pPr>
      <w:rPr>
        <w:rFonts w:ascii="宋体" w:eastAsia="宋体" w:hint="default"/>
      </w:rPr>
    </w:lvl>
    <w:lvl w:ilvl="1" w:tplc="EDD0D5EA" w:tentative="1">
      <w:start w:val="1"/>
      <w:numFmt w:val="bullet"/>
      <w:lvlText w:val="•"/>
      <w:lvlJc w:val="left"/>
      <w:pPr>
        <w:tabs>
          <w:tab w:val="num" w:pos="1440"/>
        </w:tabs>
        <w:ind w:left="1440" w:hanging="360"/>
      </w:pPr>
      <w:rPr>
        <w:rFonts w:ascii="宋体" w:eastAsia="宋体" w:hint="default"/>
      </w:rPr>
    </w:lvl>
    <w:lvl w:ilvl="2" w:tplc="291C8D66" w:tentative="1">
      <w:start w:val="1"/>
      <w:numFmt w:val="bullet"/>
      <w:lvlText w:val="•"/>
      <w:lvlJc w:val="left"/>
      <w:pPr>
        <w:tabs>
          <w:tab w:val="num" w:pos="2160"/>
        </w:tabs>
        <w:ind w:left="2160" w:hanging="360"/>
      </w:pPr>
      <w:rPr>
        <w:rFonts w:ascii="宋体" w:eastAsia="宋体" w:hint="default"/>
      </w:rPr>
    </w:lvl>
    <w:lvl w:ilvl="3" w:tplc="F4723F12" w:tentative="1">
      <w:start w:val="1"/>
      <w:numFmt w:val="bullet"/>
      <w:lvlText w:val="•"/>
      <w:lvlJc w:val="left"/>
      <w:pPr>
        <w:tabs>
          <w:tab w:val="num" w:pos="2880"/>
        </w:tabs>
        <w:ind w:left="2880" w:hanging="360"/>
      </w:pPr>
      <w:rPr>
        <w:rFonts w:ascii="宋体" w:eastAsia="宋体" w:hint="default"/>
      </w:rPr>
    </w:lvl>
    <w:lvl w:ilvl="4" w:tplc="00C250DC" w:tentative="1">
      <w:start w:val="1"/>
      <w:numFmt w:val="bullet"/>
      <w:lvlText w:val="•"/>
      <w:lvlJc w:val="left"/>
      <w:pPr>
        <w:tabs>
          <w:tab w:val="num" w:pos="3600"/>
        </w:tabs>
        <w:ind w:left="3600" w:hanging="360"/>
      </w:pPr>
      <w:rPr>
        <w:rFonts w:ascii="宋体" w:eastAsia="宋体" w:hint="default"/>
      </w:rPr>
    </w:lvl>
    <w:lvl w:ilvl="5" w:tplc="5B820E8A" w:tentative="1">
      <w:start w:val="1"/>
      <w:numFmt w:val="bullet"/>
      <w:lvlText w:val="•"/>
      <w:lvlJc w:val="left"/>
      <w:pPr>
        <w:tabs>
          <w:tab w:val="num" w:pos="4320"/>
        </w:tabs>
        <w:ind w:left="4320" w:hanging="360"/>
      </w:pPr>
      <w:rPr>
        <w:rFonts w:ascii="宋体" w:eastAsia="宋体" w:hint="default"/>
      </w:rPr>
    </w:lvl>
    <w:lvl w:ilvl="6" w:tplc="340639B8" w:tentative="1">
      <w:start w:val="1"/>
      <w:numFmt w:val="bullet"/>
      <w:lvlText w:val="•"/>
      <w:lvlJc w:val="left"/>
      <w:pPr>
        <w:tabs>
          <w:tab w:val="num" w:pos="5040"/>
        </w:tabs>
        <w:ind w:left="5040" w:hanging="360"/>
      </w:pPr>
      <w:rPr>
        <w:rFonts w:ascii="宋体" w:eastAsia="宋体" w:hint="default"/>
      </w:rPr>
    </w:lvl>
    <w:lvl w:ilvl="7" w:tplc="AE8823FC" w:tentative="1">
      <w:start w:val="1"/>
      <w:numFmt w:val="bullet"/>
      <w:lvlText w:val="•"/>
      <w:lvlJc w:val="left"/>
      <w:pPr>
        <w:tabs>
          <w:tab w:val="num" w:pos="5760"/>
        </w:tabs>
        <w:ind w:left="5760" w:hanging="360"/>
      </w:pPr>
      <w:rPr>
        <w:rFonts w:ascii="宋体" w:eastAsia="宋体" w:hint="default"/>
      </w:rPr>
    </w:lvl>
    <w:lvl w:ilvl="8" w:tplc="F9B8C82C" w:tentative="1">
      <w:start w:val="1"/>
      <w:numFmt w:val="bullet"/>
      <w:lvlText w:val="•"/>
      <w:lvlJc w:val="left"/>
      <w:pPr>
        <w:tabs>
          <w:tab w:val="num" w:pos="6480"/>
        </w:tabs>
        <w:ind w:left="6480" w:hanging="360"/>
      </w:pPr>
      <w:rPr>
        <w:rFonts w:ascii="宋体" w:eastAsia="宋体" w:hint="default"/>
      </w:rPr>
    </w:lvl>
  </w:abstractNum>
  <w:abstractNum w:abstractNumId="13">
    <w:nsid w:val="202E47D9"/>
    <w:multiLevelType w:val="hybridMultilevel"/>
    <w:tmpl w:val="744E4372"/>
    <w:lvl w:ilvl="0" w:tplc="4C74777C">
      <w:start w:val="1"/>
      <w:numFmt w:val="japaneseCounting"/>
      <w:lvlText w:val="（%1）"/>
      <w:lvlJc w:val="left"/>
      <w:pPr>
        <w:ind w:left="1445" w:hanging="88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4">
    <w:nsid w:val="295F4BAD"/>
    <w:multiLevelType w:val="hybridMultilevel"/>
    <w:tmpl w:val="F498FB6A"/>
    <w:lvl w:ilvl="0" w:tplc="AC76E0CC">
      <w:start w:val="1"/>
      <w:numFmt w:val="bullet"/>
      <w:lvlText w:val="•"/>
      <w:lvlJc w:val="left"/>
      <w:pPr>
        <w:tabs>
          <w:tab w:val="num" w:pos="720"/>
        </w:tabs>
        <w:ind w:left="720" w:hanging="360"/>
      </w:pPr>
      <w:rPr>
        <w:rFonts w:ascii="宋体" w:eastAsia="宋体" w:hint="default"/>
      </w:rPr>
    </w:lvl>
    <w:lvl w:ilvl="1" w:tplc="B734D50A" w:tentative="1">
      <w:start w:val="1"/>
      <w:numFmt w:val="bullet"/>
      <w:lvlText w:val="•"/>
      <w:lvlJc w:val="left"/>
      <w:pPr>
        <w:tabs>
          <w:tab w:val="num" w:pos="1440"/>
        </w:tabs>
        <w:ind w:left="1440" w:hanging="360"/>
      </w:pPr>
      <w:rPr>
        <w:rFonts w:ascii="宋体" w:eastAsia="宋体" w:hint="default"/>
      </w:rPr>
    </w:lvl>
    <w:lvl w:ilvl="2" w:tplc="57667B16" w:tentative="1">
      <w:start w:val="1"/>
      <w:numFmt w:val="bullet"/>
      <w:lvlText w:val="•"/>
      <w:lvlJc w:val="left"/>
      <w:pPr>
        <w:tabs>
          <w:tab w:val="num" w:pos="2160"/>
        </w:tabs>
        <w:ind w:left="2160" w:hanging="360"/>
      </w:pPr>
      <w:rPr>
        <w:rFonts w:ascii="宋体" w:eastAsia="宋体" w:hint="default"/>
      </w:rPr>
    </w:lvl>
    <w:lvl w:ilvl="3" w:tplc="7D5A79A6" w:tentative="1">
      <w:start w:val="1"/>
      <w:numFmt w:val="bullet"/>
      <w:lvlText w:val="•"/>
      <w:lvlJc w:val="left"/>
      <w:pPr>
        <w:tabs>
          <w:tab w:val="num" w:pos="2880"/>
        </w:tabs>
        <w:ind w:left="2880" w:hanging="360"/>
      </w:pPr>
      <w:rPr>
        <w:rFonts w:ascii="宋体" w:eastAsia="宋体" w:hint="default"/>
      </w:rPr>
    </w:lvl>
    <w:lvl w:ilvl="4" w:tplc="799605AE" w:tentative="1">
      <w:start w:val="1"/>
      <w:numFmt w:val="bullet"/>
      <w:lvlText w:val="•"/>
      <w:lvlJc w:val="left"/>
      <w:pPr>
        <w:tabs>
          <w:tab w:val="num" w:pos="3600"/>
        </w:tabs>
        <w:ind w:left="3600" w:hanging="360"/>
      </w:pPr>
      <w:rPr>
        <w:rFonts w:ascii="宋体" w:eastAsia="宋体" w:hint="default"/>
      </w:rPr>
    </w:lvl>
    <w:lvl w:ilvl="5" w:tplc="5C9EB76E" w:tentative="1">
      <w:start w:val="1"/>
      <w:numFmt w:val="bullet"/>
      <w:lvlText w:val="•"/>
      <w:lvlJc w:val="left"/>
      <w:pPr>
        <w:tabs>
          <w:tab w:val="num" w:pos="4320"/>
        </w:tabs>
        <w:ind w:left="4320" w:hanging="360"/>
      </w:pPr>
      <w:rPr>
        <w:rFonts w:ascii="宋体" w:eastAsia="宋体" w:hint="default"/>
      </w:rPr>
    </w:lvl>
    <w:lvl w:ilvl="6" w:tplc="A9EC43E2" w:tentative="1">
      <w:start w:val="1"/>
      <w:numFmt w:val="bullet"/>
      <w:lvlText w:val="•"/>
      <w:lvlJc w:val="left"/>
      <w:pPr>
        <w:tabs>
          <w:tab w:val="num" w:pos="5040"/>
        </w:tabs>
        <w:ind w:left="5040" w:hanging="360"/>
      </w:pPr>
      <w:rPr>
        <w:rFonts w:ascii="宋体" w:eastAsia="宋体" w:hint="default"/>
      </w:rPr>
    </w:lvl>
    <w:lvl w:ilvl="7" w:tplc="838E63A0" w:tentative="1">
      <w:start w:val="1"/>
      <w:numFmt w:val="bullet"/>
      <w:lvlText w:val="•"/>
      <w:lvlJc w:val="left"/>
      <w:pPr>
        <w:tabs>
          <w:tab w:val="num" w:pos="5760"/>
        </w:tabs>
        <w:ind w:left="5760" w:hanging="360"/>
      </w:pPr>
      <w:rPr>
        <w:rFonts w:ascii="宋体" w:eastAsia="宋体" w:hint="default"/>
      </w:rPr>
    </w:lvl>
    <w:lvl w:ilvl="8" w:tplc="6D0278C2" w:tentative="1">
      <w:start w:val="1"/>
      <w:numFmt w:val="bullet"/>
      <w:lvlText w:val="•"/>
      <w:lvlJc w:val="left"/>
      <w:pPr>
        <w:tabs>
          <w:tab w:val="num" w:pos="6480"/>
        </w:tabs>
        <w:ind w:left="6480" w:hanging="360"/>
      </w:pPr>
      <w:rPr>
        <w:rFonts w:ascii="宋体" w:eastAsia="宋体" w:hint="default"/>
      </w:rPr>
    </w:lvl>
  </w:abstractNum>
  <w:abstractNum w:abstractNumId="15">
    <w:nsid w:val="37CB2483"/>
    <w:multiLevelType w:val="hybridMultilevel"/>
    <w:tmpl w:val="EA0448F0"/>
    <w:lvl w:ilvl="0" w:tplc="A4C0E764">
      <w:start w:val="1"/>
      <w:numFmt w:val="bullet"/>
      <w:lvlText w:val=""/>
      <w:lvlJc w:val="left"/>
      <w:pPr>
        <w:tabs>
          <w:tab w:val="num" w:pos="720"/>
        </w:tabs>
        <w:ind w:left="720" w:hanging="360"/>
      </w:pPr>
      <w:rPr>
        <w:rFonts w:ascii="Wingdings" w:hAnsi="Wingdings" w:hint="default"/>
      </w:rPr>
    </w:lvl>
    <w:lvl w:ilvl="1" w:tplc="80CA464A" w:tentative="1">
      <w:start w:val="1"/>
      <w:numFmt w:val="bullet"/>
      <w:lvlText w:val=""/>
      <w:lvlJc w:val="left"/>
      <w:pPr>
        <w:tabs>
          <w:tab w:val="num" w:pos="1440"/>
        </w:tabs>
        <w:ind w:left="1440" w:hanging="360"/>
      </w:pPr>
      <w:rPr>
        <w:rFonts w:ascii="Wingdings" w:hAnsi="Wingdings" w:hint="default"/>
      </w:rPr>
    </w:lvl>
    <w:lvl w:ilvl="2" w:tplc="18BAD542" w:tentative="1">
      <w:start w:val="1"/>
      <w:numFmt w:val="bullet"/>
      <w:lvlText w:val=""/>
      <w:lvlJc w:val="left"/>
      <w:pPr>
        <w:tabs>
          <w:tab w:val="num" w:pos="2160"/>
        </w:tabs>
        <w:ind w:left="2160" w:hanging="360"/>
      </w:pPr>
      <w:rPr>
        <w:rFonts w:ascii="Wingdings" w:hAnsi="Wingdings" w:hint="default"/>
      </w:rPr>
    </w:lvl>
    <w:lvl w:ilvl="3" w:tplc="BC3CC934" w:tentative="1">
      <w:start w:val="1"/>
      <w:numFmt w:val="bullet"/>
      <w:lvlText w:val=""/>
      <w:lvlJc w:val="left"/>
      <w:pPr>
        <w:tabs>
          <w:tab w:val="num" w:pos="2880"/>
        </w:tabs>
        <w:ind w:left="2880" w:hanging="360"/>
      </w:pPr>
      <w:rPr>
        <w:rFonts w:ascii="Wingdings" w:hAnsi="Wingdings" w:hint="default"/>
      </w:rPr>
    </w:lvl>
    <w:lvl w:ilvl="4" w:tplc="7BF63152" w:tentative="1">
      <w:start w:val="1"/>
      <w:numFmt w:val="bullet"/>
      <w:lvlText w:val=""/>
      <w:lvlJc w:val="left"/>
      <w:pPr>
        <w:tabs>
          <w:tab w:val="num" w:pos="3600"/>
        </w:tabs>
        <w:ind w:left="3600" w:hanging="360"/>
      </w:pPr>
      <w:rPr>
        <w:rFonts w:ascii="Wingdings" w:hAnsi="Wingdings" w:hint="default"/>
      </w:rPr>
    </w:lvl>
    <w:lvl w:ilvl="5" w:tplc="83BA1E58" w:tentative="1">
      <w:start w:val="1"/>
      <w:numFmt w:val="bullet"/>
      <w:lvlText w:val=""/>
      <w:lvlJc w:val="left"/>
      <w:pPr>
        <w:tabs>
          <w:tab w:val="num" w:pos="4320"/>
        </w:tabs>
        <w:ind w:left="4320" w:hanging="360"/>
      </w:pPr>
      <w:rPr>
        <w:rFonts w:ascii="Wingdings" w:hAnsi="Wingdings" w:hint="default"/>
      </w:rPr>
    </w:lvl>
    <w:lvl w:ilvl="6" w:tplc="5914DDDA" w:tentative="1">
      <w:start w:val="1"/>
      <w:numFmt w:val="bullet"/>
      <w:lvlText w:val=""/>
      <w:lvlJc w:val="left"/>
      <w:pPr>
        <w:tabs>
          <w:tab w:val="num" w:pos="5040"/>
        </w:tabs>
        <w:ind w:left="5040" w:hanging="360"/>
      </w:pPr>
      <w:rPr>
        <w:rFonts w:ascii="Wingdings" w:hAnsi="Wingdings" w:hint="default"/>
      </w:rPr>
    </w:lvl>
    <w:lvl w:ilvl="7" w:tplc="A352E916" w:tentative="1">
      <w:start w:val="1"/>
      <w:numFmt w:val="bullet"/>
      <w:lvlText w:val=""/>
      <w:lvlJc w:val="left"/>
      <w:pPr>
        <w:tabs>
          <w:tab w:val="num" w:pos="5760"/>
        </w:tabs>
        <w:ind w:left="5760" w:hanging="360"/>
      </w:pPr>
      <w:rPr>
        <w:rFonts w:ascii="Wingdings" w:hAnsi="Wingdings" w:hint="default"/>
      </w:rPr>
    </w:lvl>
    <w:lvl w:ilvl="8" w:tplc="977E4488" w:tentative="1">
      <w:start w:val="1"/>
      <w:numFmt w:val="bullet"/>
      <w:lvlText w:val=""/>
      <w:lvlJc w:val="left"/>
      <w:pPr>
        <w:tabs>
          <w:tab w:val="num" w:pos="6480"/>
        </w:tabs>
        <w:ind w:left="6480" w:hanging="360"/>
      </w:pPr>
      <w:rPr>
        <w:rFonts w:ascii="Wingdings" w:hAnsi="Wingdings" w:hint="default"/>
      </w:rPr>
    </w:lvl>
  </w:abstractNum>
  <w:abstractNum w:abstractNumId="16">
    <w:nsid w:val="3B1C515F"/>
    <w:multiLevelType w:val="hybridMultilevel"/>
    <w:tmpl w:val="F7306D34"/>
    <w:lvl w:ilvl="0" w:tplc="C8E0D6BA">
      <w:start w:val="1"/>
      <w:numFmt w:val="bullet"/>
      <w:lvlText w:val=""/>
      <w:lvlJc w:val="left"/>
      <w:pPr>
        <w:tabs>
          <w:tab w:val="num" w:pos="720"/>
        </w:tabs>
        <w:ind w:left="720" w:hanging="360"/>
      </w:pPr>
      <w:rPr>
        <w:rFonts w:ascii="Wingdings" w:hAnsi="Wingdings" w:hint="default"/>
      </w:rPr>
    </w:lvl>
    <w:lvl w:ilvl="1" w:tplc="144AA678" w:tentative="1">
      <w:start w:val="1"/>
      <w:numFmt w:val="bullet"/>
      <w:lvlText w:val=""/>
      <w:lvlJc w:val="left"/>
      <w:pPr>
        <w:tabs>
          <w:tab w:val="num" w:pos="1440"/>
        </w:tabs>
        <w:ind w:left="1440" w:hanging="360"/>
      </w:pPr>
      <w:rPr>
        <w:rFonts w:ascii="Wingdings" w:hAnsi="Wingdings" w:hint="default"/>
      </w:rPr>
    </w:lvl>
    <w:lvl w:ilvl="2" w:tplc="ECD2C436" w:tentative="1">
      <w:start w:val="1"/>
      <w:numFmt w:val="bullet"/>
      <w:lvlText w:val=""/>
      <w:lvlJc w:val="left"/>
      <w:pPr>
        <w:tabs>
          <w:tab w:val="num" w:pos="2160"/>
        </w:tabs>
        <w:ind w:left="2160" w:hanging="360"/>
      </w:pPr>
      <w:rPr>
        <w:rFonts w:ascii="Wingdings" w:hAnsi="Wingdings" w:hint="default"/>
      </w:rPr>
    </w:lvl>
    <w:lvl w:ilvl="3" w:tplc="CF8E17CA" w:tentative="1">
      <w:start w:val="1"/>
      <w:numFmt w:val="bullet"/>
      <w:lvlText w:val=""/>
      <w:lvlJc w:val="left"/>
      <w:pPr>
        <w:tabs>
          <w:tab w:val="num" w:pos="2880"/>
        </w:tabs>
        <w:ind w:left="2880" w:hanging="360"/>
      </w:pPr>
      <w:rPr>
        <w:rFonts w:ascii="Wingdings" w:hAnsi="Wingdings" w:hint="default"/>
      </w:rPr>
    </w:lvl>
    <w:lvl w:ilvl="4" w:tplc="1F88F7FE" w:tentative="1">
      <w:start w:val="1"/>
      <w:numFmt w:val="bullet"/>
      <w:lvlText w:val=""/>
      <w:lvlJc w:val="left"/>
      <w:pPr>
        <w:tabs>
          <w:tab w:val="num" w:pos="3600"/>
        </w:tabs>
        <w:ind w:left="3600" w:hanging="360"/>
      </w:pPr>
      <w:rPr>
        <w:rFonts w:ascii="Wingdings" w:hAnsi="Wingdings" w:hint="default"/>
      </w:rPr>
    </w:lvl>
    <w:lvl w:ilvl="5" w:tplc="6C44C38E" w:tentative="1">
      <w:start w:val="1"/>
      <w:numFmt w:val="bullet"/>
      <w:lvlText w:val=""/>
      <w:lvlJc w:val="left"/>
      <w:pPr>
        <w:tabs>
          <w:tab w:val="num" w:pos="4320"/>
        </w:tabs>
        <w:ind w:left="4320" w:hanging="360"/>
      </w:pPr>
      <w:rPr>
        <w:rFonts w:ascii="Wingdings" w:hAnsi="Wingdings" w:hint="default"/>
      </w:rPr>
    </w:lvl>
    <w:lvl w:ilvl="6" w:tplc="A5E25E7E" w:tentative="1">
      <w:start w:val="1"/>
      <w:numFmt w:val="bullet"/>
      <w:lvlText w:val=""/>
      <w:lvlJc w:val="left"/>
      <w:pPr>
        <w:tabs>
          <w:tab w:val="num" w:pos="5040"/>
        </w:tabs>
        <w:ind w:left="5040" w:hanging="360"/>
      </w:pPr>
      <w:rPr>
        <w:rFonts w:ascii="Wingdings" w:hAnsi="Wingdings" w:hint="default"/>
      </w:rPr>
    </w:lvl>
    <w:lvl w:ilvl="7" w:tplc="745662B8" w:tentative="1">
      <w:start w:val="1"/>
      <w:numFmt w:val="bullet"/>
      <w:lvlText w:val=""/>
      <w:lvlJc w:val="left"/>
      <w:pPr>
        <w:tabs>
          <w:tab w:val="num" w:pos="5760"/>
        </w:tabs>
        <w:ind w:left="5760" w:hanging="360"/>
      </w:pPr>
      <w:rPr>
        <w:rFonts w:ascii="Wingdings" w:hAnsi="Wingdings" w:hint="default"/>
      </w:rPr>
    </w:lvl>
    <w:lvl w:ilvl="8" w:tplc="AE684EE2" w:tentative="1">
      <w:start w:val="1"/>
      <w:numFmt w:val="bullet"/>
      <w:lvlText w:val=""/>
      <w:lvlJc w:val="left"/>
      <w:pPr>
        <w:tabs>
          <w:tab w:val="num" w:pos="6480"/>
        </w:tabs>
        <w:ind w:left="6480" w:hanging="360"/>
      </w:pPr>
      <w:rPr>
        <w:rFonts w:ascii="Wingdings" w:hAnsi="Wingdings" w:hint="default"/>
      </w:rPr>
    </w:lvl>
  </w:abstractNum>
  <w:abstractNum w:abstractNumId="17">
    <w:nsid w:val="494A51D7"/>
    <w:multiLevelType w:val="hybridMultilevel"/>
    <w:tmpl w:val="F0F2138A"/>
    <w:lvl w:ilvl="0" w:tplc="491C2994">
      <w:start w:val="1"/>
      <w:numFmt w:val="japaneseCounting"/>
      <w:lvlText w:val="（%1）"/>
      <w:lvlJc w:val="left"/>
      <w:pPr>
        <w:ind w:left="1424" w:hanging="864"/>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8">
    <w:nsid w:val="57965EF2"/>
    <w:multiLevelType w:val="hybridMultilevel"/>
    <w:tmpl w:val="507C2BE0"/>
    <w:lvl w:ilvl="0" w:tplc="9336EFEE">
      <w:start w:val="1"/>
      <w:numFmt w:val="bullet"/>
      <w:lvlText w:val=""/>
      <w:lvlJc w:val="left"/>
      <w:pPr>
        <w:tabs>
          <w:tab w:val="num" w:pos="720"/>
        </w:tabs>
        <w:ind w:left="720" w:hanging="360"/>
      </w:pPr>
      <w:rPr>
        <w:rFonts w:ascii="Wingdings" w:hAnsi="Wingdings" w:hint="default"/>
      </w:rPr>
    </w:lvl>
    <w:lvl w:ilvl="1" w:tplc="120CC95C" w:tentative="1">
      <w:start w:val="1"/>
      <w:numFmt w:val="bullet"/>
      <w:lvlText w:val=""/>
      <w:lvlJc w:val="left"/>
      <w:pPr>
        <w:tabs>
          <w:tab w:val="num" w:pos="1440"/>
        </w:tabs>
        <w:ind w:left="1440" w:hanging="360"/>
      </w:pPr>
      <w:rPr>
        <w:rFonts w:ascii="Wingdings" w:hAnsi="Wingdings" w:hint="default"/>
      </w:rPr>
    </w:lvl>
    <w:lvl w:ilvl="2" w:tplc="42587A0C" w:tentative="1">
      <w:start w:val="1"/>
      <w:numFmt w:val="bullet"/>
      <w:lvlText w:val=""/>
      <w:lvlJc w:val="left"/>
      <w:pPr>
        <w:tabs>
          <w:tab w:val="num" w:pos="2160"/>
        </w:tabs>
        <w:ind w:left="2160" w:hanging="360"/>
      </w:pPr>
      <w:rPr>
        <w:rFonts w:ascii="Wingdings" w:hAnsi="Wingdings" w:hint="default"/>
      </w:rPr>
    </w:lvl>
    <w:lvl w:ilvl="3" w:tplc="A90A563E" w:tentative="1">
      <w:start w:val="1"/>
      <w:numFmt w:val="bullet"/>
      <w:lvlText w:val=""/>
      <w:lvlJc w:val="left"/>
      <w:pPr>
        <w:tabs>
          <w:tab w:val="num" w:pos="2880"/>
        </w:tabs>
        <w:ind w:left="2880" w:hanging="360"/>
      </w:pPr>
      <w:rPr>
        <w:rFonts w:ascii="Wingdings" w:hAnsi="Wingdings" w:hint="default"/>
      </w:rPr>
    </w:lvl>
    <w:lvl w:ilvl="4" w:tplc="205A6698" w:tentative="1">
      <w:start w:val="1"/>
      <w:numFmt w:val="bullet"/>
      <w:lvlText w:val=""/>
      <w:lvlJc w:val="left"/>
      <w:pPr>
        <w:tabs>
          <w:tab w:val="num" w:pos="3600"/>
        </w:tabs>
        <w:ind w:left="3600" w:hanging="360"/>
      </w:pPr>
      <w:rPr>
        <w:rFonts w:ascii="Wingdings" w:hAnsi="Wingdings" w:hint="default"/>
      </w:rPr>
    </w:lvl>
    <w:lvl w:ilvl="5" w:tplc="5D2E11C8" w:tentative="1">
      <w:start w:val="1"/>
      <w:numFmt w:val="bullet"/>
      <w:lvlText w:val=""/>
      <w:lvlJc w:val="left"/>
      <w:pPr>
        <w:tabs>
          <w:tab w:val="num" w:pos="4320"/>
        </w:tabs>
        <w:ind w:left="4320" w:hanging="360"/>
      </w:pPr>
      <w:rPr>
        <w:rFonts w:ascii="Wingdings" w:hAnsi="Wingdings" w:hint="default"/>
      </w:rPr>
    </w:lvl>
    <w:lvl w:ilvl="6" w:tplc="935CA828" w:tentative="1">
      <w:start w:val="1"/>
      <w:numFmt w:val="bullet"/>
      <w:lvlText w:val=""/>
      <w:lvlJc w:val="left"/>
      <w:pPr>
        <w:tabs>
          <w:tab w:val="num" w:pos="5040"/>
        </w:tabs>
        <w:ind w:left="5040" w:hanging="360"/>
      </w:pPr>
      <w:rPr>
        <w:rFonts w:ascii="Wingdings" w:hAnsi="Wingdings" w:hint="default"/>
      </w:rPr>
    </w:lvl>
    <w:lvl w:ilvl="7" w:tplc="913AC3FA" w:tentative="1">
      <w:start w:val="1"/>
      <w:numFmt w:val="bullet"/>
      <w:lvlText w:val=""/>
      <w:lvlJc w:val="left"/>
      <w:pPr>
        <w:tabs>
          <w:tab w:val="num" w:pos="5760"/>
        </w:tabs>
        <w:ind w:left="5760" w:hanging="360"/>
      </w:pPr>
      <w:rPr>
        <w:rFonts w:ascii="Wingdings" w:hAnsi="Wingdings" w:hint="default"/>
      </w:rPr>
    </w:lvl>
    <w:lvl w:ilvl="8" w:tplc="D72AF2A6" w:tentative="1">
      <w:start w:val="1"/>
      <w:numFmt w:val="bullet"/>
      <w:lvlText w:val=""/>
      <w:lvlJc w:val="left"/>
      <w:pPr>
        <w:tabs>
          <w:tab w:val="num" w:pos="6480"/>
        </w:tabs>
        <w:ind w:left="6480" w:hanging="360"/>
      </w:pPr>
      <w:rPr>
        <w:rFonts w:ascii="Wingdings" w:hAnsi="Wingdings" w:hint="default"/>
      </w:rPr>
    </w:lvl>
  </w:abstractNum>
  <w:abstractNum w:abstractNumId="19">
    <w:nsid w:val="5B3540CC"/>
    <w:multiLevelType w:val="hybridMultilevel"/>
    <w:tmpl w:val="BDC24850"/>
    <w:lvl w:ilvl="0" w:tplc="3F18D06E">
      <w:start w:val="1"/>
      <w:numFmt w:val="japaneseCounting"/>
      <w:lvlText w:val="（%1）"/>
      <w:lvlJc w:val="left"/>
      <w:pPr>
        <w:ind w:left="876" w:hanging="876"/>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5647495"/>
    <w:multiLevelType w:val="hybridMultilevel"/>
    <w:tmpl w:val="CA1894B2"/>
    <w:lvl w:ilvl="0" w:tplc="67AE19FA">
      <w:start w:val="1"/>
      <w:numFmt w:val="decimal"/>
      <w:lvlText w:val="%1."/>
      <w:lvlJc w:val="left"/>
      <w:pPr>
        <w:ind w:left="1414" w:hanging="852"/>
      </w:pPr>
      <w:rPr>
        <w:rFonts w:hAnsi="Calibri"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21">
    <w:nsid w:val="6B817BD8"/>
    <w:multiLevelType w:val="hybridMultilevel"/>
    <w:tmpl w:val="2F74DDB6"/>
    <w:lvl w:ilvl="0" w:tplc="CE5A0640">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2">
    <w:nsid w:val="73B36503"/>
    <w:multiLevelType w:val="hybridMultilevel"/>
    <w:tmpl w:val="53E4C7E6"/>
    <w:lvl w:ilvl="0" w:tplc="F55095C6">
      <w:start w:val="1"/>
      <w:numFmt w:val="decimal"/>
      <w:lvlText w:val="%1."/>
      <w:lvlJc w:val="left"/>
      <w:pPr>
        <w:ind w:left="922" w:hanging="36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23">
    <w:nsid w:val="781D38F5"/>
    <w:multiLevelType w:val="hybridMultilevel"/>
    <w:tmpl w:val="A72E3D64"/>
    <w:lvl w:ilvl="0" w:tplc="B4C68A96">
      <w:start w:val="1"/>
      <w:numFmt w:val="bullet"/>
      <w:lvlText w:val=""/>
      <w:lvlJc w:val="left"/>
      <w:pPr>
        <w:tabs>
          <w:tab w:val="num" w:pos="720"/>
        </w:tabs>
        <w:ind w:left="720" w:hanging="360"/>
      </w:pPr>
      <w:rPr>
        <w:rFonts w:ascii="Wingdings" w:hAnsi="Wingdings" w:hint="default"/>
      </w:rPr>
    </w:lvl>
    <w:lvl w:ilvl="1" w:tplc="2614169E" w:tentative="1">
      <w:start w:val="1"/>
      <w:numFmt w:val="bullet"/>
      <w:lvlText w:val=""/>
      <w:lvlJc w:val="left"/>
      <w:pPr>
        <w:tabs>
          <w:tab w:val="num" w:pos="1440"/>
        </w:tabs>
        <w:ind w:left="1440" w:hanging="360"/>
      </w:pPr>
      <w:rPr>
        <w:rFonts w:ascii="Wingdings" w:hAnsi="Wingdings" w:hint="default"/>
      </w:rPr>
    </w:lvl>
    <w:lvl w:ilvl="2" w:tplc="038C8AA8" w:tentative="1">
      <w:start w:val="1"/>
      <w:numFmt w:val="bullet"/>
      <w:lvlText w:val=""/>
      <w:lvlJc w:val="left"/>
      <w:pPr>
        <w:tabs>
          <w:tab w:val="num" w:pos="2160"/>
        </w:tabs>
        <w:ind w:left="2160" w:hanging="360"/>
      </w:pPr>
      <w:rPr>
        <w:rFonts w:ascii="Wingdings" w:hAnsi="Wingdings" w:hint="default"/>
      </w:rPr>
    </w:lvl>
    <w:lvl w:ilvl="3" w:tplc="E318A9B4" w:tentative="1">
      <w:start w:val="1"/>
      <w:numFmt w:val="bullet"/>
      <w:lvlText w:val=""/>
      <w:lvlJc w:val="left"/>
      <w:pPr>
        <w:tabs>
          <w:tab w:val="num" w:pos="2880"/>
        </w:tabs>
        <w:ind w:left="2880" w:hanging="360"/>
      </w:pPr>
      <w:rPr>
        <w:rFonts w:ascii="Wingdings" w:hAnsi="Wingdings" w:hint="default"/>
      </w:rPr>
    </w:lvl>
    <w:lvl w:ilvl="4" w:tplc="13D8C078" w:tentative="1">
      <w:start w:val="1"/>
      <w:numFmt w:val="bullet"/>
      <w:lvlText w:val=""/>
      <w:lvlJc w:val="left"/>
      <w:pPr>
        <w:tabs>
          <w:tab w:val="num" w:pos="3600"/>
        </w:tabs>
        <w:ind w:left="3600" w:hanging="360"/>
      </w:pPr>
      <w:rPr>
        <w:rFonts w:ascii="Wingdings" w:hAnsi="Wingdings" w:hint="default"/>
      </w:rPr>
    </w:lvl>
    <w:lvl w:ilvl="5" w:tplc="4718FAC8" w:tentative="1">
      <w:start w:val="1"/>
      <w:numFmt w:val="bullet"/>
      <w:lvlText w:val=""/>
      <w:lvlJc w:val="left"/>
      <w:pPr>
        <w:tabs>
          <w:tab w:val="num" w:pos="4320"/>
        </w:tabs>
        <w:ind w:left="4320" w:hanging="360"/>
      </w:pPr>
      <w:rPr>
        <w:rFonts w:ascii="Wingdings" w:hAnsi="Wingdings" w:hint="default"/>
      </w:rPr>
    </w:lvl>
    <w:lvl w:ilvl="6" w:tplc="8CE6D6F0" w:tentative="1">
      <w:start w:val="1"/>
      <w:numFmt w:val="bullet"/>
      <w:lvlText w:val=""/>
      <w:lvlJc w:val="left"/>
      <w:pPr>
        <w:tabs>
          <w:tab w:val="num" w:pos="5040"/>
        </w:tabs>
        <w:ind w:left="5040" w:hanging="360"/>
      </w:pPr>
      <w:rPr>
        <w:rFonts w:ascii="Wingdings" w:hAnsi="Wingdings" w:hint="default"/>
      </w:rPr>
    </w:lvl>
    <w:lvl w:ilvl="7" w:tplc="35C0814A" w:tentative="1">
      <w:start w:val="1"/>
      <w:numFmt w:val="bullet"/>
      <w:lvlText w:val=""/>
      <w:lvlJc w:val="left"/>
      <w:pPr>
        <w:tabs>
          <w:tab w:val="num" w:pos="5760"/>
        </w:tabs>
        <w:ind w:left="5760" w:hanging="360"/>
      </w:pPr>
      <w:rPr>
        <w:rFonts w:ascii="Wingdings" w:hAnsi="Wingdings" w:hint="default"/>
      </w:rPr>
    </w:lvl>
    <w:lvl w:ilvl="8" w:tplc="6290940E" w:tentative="1">
      <w:start w:val="1"/>
      <w:numFmt w:val="bullet"/>
      <w:lvlText w:val=""/>
      <w:lvlJc w:val="left"/>
      <w:pPr>
        <w:tabs>
          <w:tab w:val="num" w:pos="6480"/>
        </w:tabs>
        <w:ind w:left="6480" w:hanging="360"/>
      </w:pPr>
      <w:rPr>
        <w:rFonts w:ascii="Wingdings" w:hAnsi="Wingdings" w:hint="default"/>
      </w:rPr>
    </w:lvl>
  </w:abstractNum>
  <w:abstractNum w:abstractNumId="24">
    <w:nsid w:val="792565EF"/>
    <w:multiLevelType w:val="hybridMultilevel"/>
    <w:tmpl w:val="807A5CBA"/>
    <w:lvl w:ilvl="0" w:tplc="04090003">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5">
    <w:nsid w:val="79406168"/>
    <w:multiLevelType w:val="hybridMultilevel"/>
    <w:tmpl w:val="C1009F62"/>
    <w:lvl w:ilvl="0" w:tplc="491C2994">
      <w:start w:val="1"/>
      <w:numFmt w:val="japaneseCounting"/>
      <w:lvlText w:val="（%1）"/>
      <w:lvlJc w:val="left"/>
      <w:pPr>
        <w:ind w:left="1424" w:hanging="864"/>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6">
    <w:nsid w:val="7DB00DC7"/>
    <w:multiLevelType w:val="hybridMultilevel"/>
    <w:tmpl w:val="7B644A1C"/>
    <w:lvl w:ilvl="0" w:tplc="AAC613B6">
      <w:start w:val="1"/>
      <w:numFmt w:val="bullet"/>
      <w:lvlText w:val=""/>
      <w:lvlJc w:val="left"/>
      <w:pPr>
        <w:tabs>
          <w:tab w:val="num" w:pos="720"/>
        </w:tabs>
        <w:ind w:left="720" w:hanging="360"/>
      </w:pPr>
      <w:rPr>
        <w:rFonts w:ascii="Wingdings" w:hAnsi="Wingdings" w:hint="default"/>
      </w:rPr>
    </w:lvl>
    <w:lvl w:ilvl="1" w:tplc="7E8EA51A" w:tentative="1">
      <w:start w:val="1"/>
      <w:numFmt w:val="bullet"/>
      <w:lvlText w:val=""/>
      <w:lvlJc w:val="left"/>
      <w:pPr>
        <w:tabs>
          <w:tab w:val="num" w:pos="1440"/>
        </w:tabs>
        <w:ind w:left="1440" w:hanging="360"/>
      </w:pPr>
      <w:rPr>
        <w:rFonts w:ascii="Wingdings" w:hAnsi="Wingdings" w:hint="default"/>
      </w:rPr>
    </w:lvl>
    <w:lvl w:ilvl="2" w:tplc="3F786D6E" w:tentative="1">
      <w:start w:val="1"/>
      <w:numFmt w:val="bullet"/>
      <w:lvlText w:val=""/>
      <w:lvlJc w:val="left"/>
      <w:pPr>
        <w:tabs>
          <w:tab w:val="num" w:pos="2160"/>
        </w:tabs>
        <w:ind w:left="2160" w:hanging="360"/>
      </w:pPr>
      <w:rPr>
        <w:rFonts w:ascii="Wingdings" w:hAnsi="Wingdings" w:hint="default"/>
      </w:rPr>
    </w:lvl>
    <w:lvl w:ilvl="3" w:tplc="8AAC7ACE" w:tentative="1">
      <w:start w:val="1"/>
      <w:numFmt w:val="bullet"/>
      <w:lvlText w:val=""/>
      <w:lvlJc w:val="left"/>
      <w:pPr>
        <w:tabs>
          <w:tab w:val="num" w:pos="2880"/>
        </w:tabs>
        <w:ind w:left="2880" w:hanging="360"/>
      </w:pPr>
      <w:rPr>
        <w:rFonts w:ascii="Wingdings" w:hAnsi="Wingdings" w:hint="default"/>
      </w:rPr>
    </w:lvl>
    <w:lvl w:ilvl="4" w:tplc="8C1A3152" w:tentative="1">
      <w:start w:val="1"/>
      <w:numFmt w:val="bullet"/>
      <w:lvlText w:val=""/>
      <w:lvlJc w:val="left"/>
      <w:pPr>
        <w:tabs>
          <w:tab w:val="num" w:pos="3600"/>
        </w:tabs>
        <w:ind w:left="3600" w:hanging="360"/>
      </w:pPr>
      <w:rPr>
        <w:rFonts w:ascii="Wingdings" w:hAnsi="Wingdings" w:hint="default"/>
      </w:rPr>
    </w:lvl>
    <w:lvl w:ilvl="5" w:tplc="7382E27A" w:tentative="1">
      <w:start w:val="1"/>
      <w:numFmt w:val="bullet"/>
      <w:lvlText w:val=""/>
      <w:lvlJc w:val="left"/>
      <w:pPr>
        <w:tabs>
          <w:tab w:val="num" w:pos="4320"/>
        </w:tabs>
        <w:ind w:left="4320" w:hanging="360"/>
      </w:pPr>
      <w:rPr>
        <w:rFonts w:ascii="Wingdings" w:hAnsi="Wingdings" w:hint="default"/>
      </w:rPr>
    </w:lvl>
    <w:lvl w:ilvl="6" w:tplc="EF1CBCDE" w:tentative="1">
      <w:start w:val="1"/>
      <w:numFmt w:val="bullet"/>
      <w:lvlText w:val=""/>
      <w:lvlJc w:val="left"/>
      <w:pPr>
        <w:tabs>
          <w:tab w:val="num" w:pos="5040"/>
        </w:tabs>
        <w:ind w:left="5040" w:hanging="360"/>
      </w:pPr>
      <w:rPr>
        <w:rFonts w:ascii="Wingdings" w:hAnsi="Wingdings" w:hint="default"/>
      </w:rPr>
    </w:lvl>
    <w:lvl w:ilvl="7" w:tplc="2AC63B42" w:tentative="1">
      <w:start w:val="1"/>
      <w:numFmt w:val="bullet"/>
      <w:lvlText w:val=""/>
      <w:lvlJc w:val="left"/>
      <w:pPr>
        <w:tabs>
          <w:tab w:val="num" w:pos="5760"/>
        </w:tabs>
        <w:ind w:left="5760" w:hanging="360"/>
      </w:pPr>
      <w:rPr>
        <w:rFonts w:ascii="Wingdings" w:hAnsi="Wingdings" w:hint="default"/>
      </w:rPr>
    </w:lvl>
    <w:lvl w:ilvl="8" w:tplc="A978003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8"/>
  </w:num>
  <w:num w:numId="4">
    <w:abstractNumId w:val="25"/>
  </w:num>
  <w:num w:numId="5">
    <w:abstractNumId w:val="17"/>
  </w:num>
  <w:num w:numId="6">
    <w:abstractNumId w:val="20"/>
  </w:num>
  <w:num w:numId="7">
    <w:abstractNumId w:val="19"/>
  </w:num>
  <w:num w:numId="8">
    <w:abstractNumId w:val="6"/>
  </w:num>
  <w:num w:numId="9">
    <w:abstractNumId w:val="24"/>
  </w:num>
  <w:num w:numId="10">
    <w:abstractNumId w:val="2"/>
  </w:num>
  <w:num w:numId="11">
    <w:abstractNumId w:val="21"/>
  </w:num>
  <w:num w:numId="12">
    <w:abstractNumId w:val="11"/>
  </w:num>
  <w:num w:numId="13">
    <w:abstractNumId w:val="14"/>
  </w:num>
  <w:num w:numId="14">
    <w:abstractNumId w:val="12"/>
  </w:num>
  <w:num w:numId="15">
    <w:abstractNumId w:val="26"/>
  </w:num>
  <w:num w:numId="16">
    <w:abstractNumId w:val="22"/>
  </w:num>
  <w:num w:numId="17">
    <w:abstractNumId w:val="1"/>
  </w:num>
  <w:num w:numId="18">
    <w:abstractNumId w:val="10"/>
  </w:num>
  <w:num w:numId="19">
    <w:abstractNumId w:val="16"/>
  </w:num>
  <w:num w:numId="20">
    <w:abstractNumId w:val="0"/>
  </w:num>
  <w:num w:numId="21">
    <w:abstractNumId w:val="15"/>
  </w:num>
  <w:num w:numId="22">
    <w:abstractNumId w:val="3"/>
  </w:num>
  <w:num w:numId="23">
    <w:abstractNumId w:val="4"/>
  </w:num>
  <w:num w:numId="24">
    <w:abstractNumId w:val="23"/>
  </w:num>
  <w:num w:numId="25">
    <w:abstractNumId w:val="7"/>
  </w:num>
  <w:num w:numId="26">
    <w:abstractNumId w:val="18"/>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8B8"/>
    <w:rsid w:val="00000546"/>
    <w:rsid w:val="0000074C"/>
    <w:rsid w:val="00001B1F"/>
    <w:rsid w:val="00002080"/>
    <w:rsid w:val="00002B70"/>
    <w:rsid w:val="00002B8E"/>
    <w:rsid w:val="00002D06"/>
    <w:rsid w:val="00003D45"/>
    <w:rsid w:val="00004142"/>
    <w:rsid w:val="000041C3"/>
    <w:rsid w:val="00006279"/>
    <w:rsid w:val="0000634F"/>
    <w:rsid w:val="00006F3A"/>
    <w:rsid w:val="00007432"/>
    <w:rsid w:val="000074EC"/>
    <w:rsid w:val="00007E89"/>
    <w:rsid w:val="0001063B"/>
    <w:rsid w:val="00011007"/>
    <w:rsid w:val="00011489"/>
    <w:rsid w:val="0001160A"/>
    <w:rsid w:val="0001227A"/>
    <w:rsid w:val="0001237D"/>
    <w:rsid w:val="00012519"/>
    <w:rsid w:val="00013611"/>
    <w:rsid w:val="00013782"/>
    <w:rsid w:val="000137E2"/>
    <w:rsid w:val="00014480"/>
    <w:rsid w:val="00015888"/>
    <w:rsid w:val="00016155"/>
    <w:rsid w:val="00016C31"/>
    <w:rsid w:val="00017180"/>
    <w:rsid w:val="00020664"/>
    <w:rsid w:val="00020AC9"/>
    <w:rsid w:val="00021477"/>
    <w:rsid w:val="00022134"/>
    <w:rsid w:val="00023448"/>
    <w:rsid w:val="00024168"/>
    <w:rsid w:val="00024706"/>
    <w:rsid w:val="00024CBA"/>
    <w:rsid w:val="000252C0"/>
    <w:rsid w:val="000258F2"/>
    <w:rsid w:val="00025919"/>
    <w:rsid w:val="000259A9"/>
    <w:rsid w:val="00025E06"/>
    <w:rsid w:val="000267D1"/>
    <w:rsid w:val="00027D4A"/>
    <w:rsid w:val="00027D78"/>
    <w:rsid w:val="000307EC"/>
    <w:rsid w:val="00032303"/>
    <w:rsid w:val="0003272A"/>
    <w:rsid w:val="000328DB"/>
    <w:rsid w:val="00032C99"/>
    <w:rsid w:val="00032DA0"/>
    <w:rsid w:val="00033060"/>
    <w:rsid w:val="000333E8"/>
    <w:rsid w:val="00033771"/>
    <w:rsid w:val="00033C47"/>
    <w:rsid w:val="000341B3"/>
    <w:rsid w:val="00035407"/>
    <w:rsid w:val="00035C7A"/>
    <w:rsid w:val="00035EA3"/>
    <w:rsid w:val="0003668D"/>
    <w:rsid w:val="00037704"/>
    <w:rsid w:val="00037BEC"/>
    <w:rsid w:val="00040188"/>
    <w:rsid w:val="000408E9"/>
    <w:rsid w:val="00041204"/>
    <w:rsid w:val="000413B4"/>
    <w:rsid w:val="000419A9"/>
    <w:rsid w:val="00041C26"/>
    <w:rsid w:val="00042077"/>
    <w:rsid w:val="00043806"/>
    <w:rsid w:val="00044025"/>
    <w:rsid w:val="0004421A"/>
    <w:rsid w:val="00044533"/>
    <w:rsid w:val="000447B2"/>
    <w:rsid w:val="000448D9"/>
    <w:rsid w:val="00044CD7"/>
    <w:rsid w:val="000450B6"/>
    <w:rsid w:val="00045FE1"/>
    <w:rsid w:val="000468AD"/>
    <w:rsid w:val="00050658"/>
    <w:rsid w:val="00051346"/>
    <w:rsid w:val="000518CF"/>
    <w:rsid w:val="00051EA5"/>
    <w:rsid w:val="000527C7"/>
    <w:rsid w:val="0005329E"/>
    <w:rsid w:val="00053D4A"/>
    <w:rsid w:val="00054411"/>
    <w:rsid w:val="00054EB9"/>
    <w:rsid w:val="00055AD8"/>
    <w:rsid w:val="00056864"/>
    <w:rsid w:val="0005730F"/>
    <w:rsid w:val="000604DE"/>
    <w:rsid w:val="00060810"/>
    <w:rsid w:val="00060A8B"/>
    <w:rsid w:val="00060B5A"/>
    <w:rsid w:val="00061306"/>
    <w:rsid w:val="00063182"/>
    <w:rsid w:val="000637EB"/>
    <w:rsid w:val="00063E09"/>
    <w:rsid w:val="000659EC"/>
    <w:rsid w:val="00066A8D"/>
    <w:rsid w:val="00066B23"/>
    <w:rsid w:val="00066B41"/>
    <w:rsid w:val="0006715E"/>
    <w:rsid w:val="00067751"/>
    <w:rsid w:val="00067B03"/>
    <w:rsid w:val="00070DAF"/>
    <w:rsid w:val="00070EC0"/>
    <w:rsid w:val="000711C6"/>
    <w:rsid w:val="00071699"/>
    <w:rsid w:val="0007207A"/>
    <w:rsid w:val="000724D1"/>
    <w:rsid w:val="0007272A"/>
    <w:rsid w:val="00072E98"/>
    <w:rsid w:val="000733D8"/>
    <w:rsid w:val="000734ED"/>
    <w:rsid w:val="00073728"/>
    <w:rsid w:val="00073905"/>
    <w:rsid w:val="00074B63"/>
    <w:rsid w:val="0007604F"/>
    <w:rsid w:val="0007626C"/>
    <w:rsid w:val="0007684D"/>
    <w:rsid w:val="00077FFD"/>
    <w:rsid w:val="000805A3"/>
    <w:rsid w:val="00080C3E"/>
    <w:rsid w:val="000813E1"/>
    <w:rsid w:val="00081662"/>
    <w:rsid w:val="00081B42"/>
    <w:rsid w:val="00081D6C"/>
    <w:rsid w:val="00082410"/>
    <w:rsid w:val="00082BB7"/>
    <w:rsid w:val="00082BCC"/>
    <w:rsid w:val="00082F91"/>
    <w:rsid w:val="000833F7"/>
    <w:rsid w:val="00083933"/>
    <w:rsid w:val="0008404E"/>
    <w:rsid w:val="0008446B"/>
    <w:rsid w:val="0008452A"/>
    <w:rsid w:val="00084D7B"/>
    <w:rsid w:val="000850A5"/>
    <w:rsid w:val="000851AD"/>
    <w:rsid w:val="000857A1"/>
    <w:rsid w:val="00085A86"/>
    <w:rsid w:val="00085CF0"/>
    <w:rsid w:val="00085F38"/>
    <w:rsid w:val="0008644E"/>
    <w:rsid w:val="000870AA"/>
    <w:rsid w:val="00087AD5"/>
    <w:rsid w:val="00087C76"/>
    <w:rsid w:val="00087EB9"/>
    <w:rsid w:val="00087F48"/>
    <w:rsid w:val="00090AF4"/>
    <w:rsid w:val="000919EF"/>
    <w:rsid w:val="00091A20"/>
    <w:rsid w:val="000927F4"/>
    <w:rsid w:val="00093029"/>
    <w:rsid w:val="0009351A"/>
    <w:rsid w:val="00094B23"/>
    <w:rsid w:val="00095393"/>
    <w:rsid w:val="00095B2A"/>
    <w:rsid w:val="00095E14"/>
    <w:rsid w:val="00096036"/>
    <w:rsid w:val="000966C4"/>
    <w:rsid w:val="00096FF1"/>
    <w:rsid w:val="00097A58"/>
    <w:rsid w:val="000A023F"/>
    <w:rsid w:val="000A1305"/>
    <w:rsid w:val="000A155E"/>
    <w:rsid w:val="000A17AF"/>
    <w:rsid w:val="000A1DD7"/>
    <w:rsid w:val="000A29B7"/>
    <w:rsid w:val="000A2B20"/>
    <w:rsid w:val="000A3049"/>
    <w:rsid w:val="000A399F"/>
    <w:rsid w:val="000A4E80"/>
    <w:rsid w:val="000A5973"/>
    <w:rsid w:val="000A5D30"/>
    <w:rsid w:val="000A5F36"/>
    <w:rsid w:val="000A63C2"/>
    <w:rsid w:val="000A65B0"/>
    <w:rsid w:val="000A6DA4"/>
    <w:rsid w:val="000A7173"/>
    <w:rsid w:val="000A7231"/>
    <w:rsid w:val="000A78A4"/>
    <w:rsid w:val="000A794D"/>
    <w:rsid w:val="000A7A2C"/>
    <w:rsid w:val="000A7E49"/>
    <w:rsid w:val="000B0602"/>
    <w:rsid w:val="000B0DFC"/>
    <w:rsid w:val="000B1814"/>
    <w:rsid w:val="000B296A"/>
    <w:rsid w:val="000B3F6B"/>
    <w:rsid w:val="000B409D"/>
    <w:rsid w:val="000B431B"/>
    <w:rsid w:val="000B4B97"/>
    <w:rsid w:val="000B6B1F"/>
    <w:rsid w:val="000C00E8"/>
    <w:rsid w:val="000C0E35"/>
    <w:rsid w:val="000C1663"/>
    <w:rsid w:val="000C1A95"/>
    <w:rsid w:val="000C1AB3"/>
    <w:rsid w:val="000C1B22"/>
    <w:rsid w:val="000C2AE1"/>
    <w:rsid w:val="000C2C2B"/>
    <w:rsid w:val="000C4469"/>
    <w:rsid w:val="000C4CE9"/>
    <w:rsid w:val="000C512D"/>
    <w:rsid w:val="000C6331"/>
    <w:rsid w:val="000C6996"/>
    <w:rsid w:val="000C6998"/>
    <w:rsid w:val="000C72F3"/>
    <w:rsid w:val="000D0260"/>
    <w:rsid w:val="000D1E3B"/>
    <w:rsid w:val="000D2A14"/>
    <w:rsid w:val="000D2EA1"/>
    <w:rsid w:val="000D3365"/>
    <w:rsid w:val="000D3862"/>
    <w:rsid w:val="000D3A69"/>
    <w:rsid w:val="000D4D43"/>
    <w:rsid w:val="000D50EE"/>
    <w:rsid w:val="000D5A7D"/>
    <w:rsid w:val="000D6DA4"/>
    <w:rsid w:val="000D73CB"/>
    <w:rsid w:val="000D7467"/>
    <w:rsid w:val="000D7B52"/>
    <w:rsid w:val="000E064A"/>
    <w:rsid w:val="000E168D"/>
    <w:rsid w:val="000E237D"/>
    <w:rsid w:val="000E2650"/>
    <w:rsid w:val="000E4C88"/>
    <w:rsid w:val="000E523F"/>
    <w:rsid w:val="000E606C"/>
    <w:rsid w:val="000E6458"/>
    <w:rsid w:val="000E75A1"/>
    <w:rsid w:val="000E7A23"/>
    <w:rsid w:val="000F0145"/>
    <w:rsid w:val="000F0716"/>
    <w:rsid w:val="000F0E0D"/>
    <w:rsid w:val="000F1FF5"/>
    <w:rsid w:val="000F297C"/>
    <w:rsid w:val="000F30E4"/>
    <w:rsid w:val="000F3DDF"/>
    <w:rsid w:val="000F4FD4"/>
    <w:rsid w:val="000F655F"/>
    <w:rsid w:val="000F6970"/>
    <w:rsid w:val="000F74DF"/>
    <w:rsid w:val="001009CD"/>
    <w:rsid w:val="00100BA0"/>
    <w:rsid w:val="00100C8F"/>
    <w:rsid w:val="001014CE"/>
    <w:rsid w:val="00104385"/>
    <w:rsid w:val="00104B1B"/>
    <w:rsid w:val="001050F4"/>
    <w:rsid w:val="001054B5"/>
    <w:rsid w:val="00105519"/>
    <w:rsid w:val="00106085"/>
    <w:rsid w:val="00107714"/>
    <w:rsid w:val="00107B4C"/>
    <w:rsid w:val="0011054D"/>
    <w:rsid w:val="0011135F"/>
    <w:rsid w:val="00113234"/>
    <w:rsid w:val="0011323A"/>
    <w:rsid w:val="00113322"/>
    <w:rsid w:val="0011463C"/>
    <w:rsid w:val="00114E46"/>
    <w:rsid w:val="0011551C"/>
    <w:rsid w:val="00115A90"/>
    <w:rsid w:val="00115D75"/>
    <w:rsid w:val="00116A2A"/>
    <w:rsid w:val="001170B9"/>
    <w:rsid w:val="00117EFF"/>
    <w:rsid w:val="00120B02"/>
    <w:rsid w:val="00120B64"/>
    <w:rsid w:val="00120C2F"/>
    <w:rsid w:val="00120FAC"/>
    <w:rsid w:val="001214DC"/>
    <w:rsid w:val="00122013"/>
    <w:rsid w:val="0012338C"/>
    <w:rsid w:val="001236E9"/>
    <w:rsid w:val="00123DDC"/>
    <w:rsid w:val="00123E01"/>
    <w:rsid w:val="00123EA2"/>
    <w:rsid w:val="00124B4A"/>
    <w:rsid w:val="001253D7"/>
    <w:rsid w:val="001256BA"/>
    <w:rsid w:val="00125887"/>
    <w:rsid w:val="00125FC7"/>
    <w:rsid w:val="0012648D"/>
    <w:rsid w:val="00126DB0"/>
    <w:rsid w:val="00127869"/>
    <w:rsid w:val="00130A56"/>
    <w:rsid w:val="00130BBA"/>
    <w:rsid w:val="00131696"/>
    <w:rsid w:val="00131ABD"/>
    <w:rsid w:val="00132557"/>
    <w:rsid w:val="00132D11"/>
    <w:rsid w:val="00132EE3"/>
    <w:rsid w:val="00133062"/>
    <w:rsid w:val="00134079"/>
    <w:rsid w:val="00134452"/>
    <w:rsid w:val="001346B3"/>
    <w:rsid w:val="00135C65"/>
    <w:rsid w:val="0013625E"/>
    <w:rsid w:val="0013717E"/>
    <w:rsid w:val="0013719A"/>
    <w:rsid w:val="00137232"/>
    <w:rsid w:val="00137CFC"/>
    <w:rsid w:val="00140628"/>
    <w:rsid w:val="0014072A"/>
    <w:rsid w:val="0014082F"/>
    <w:rsid w:val="00140F19"/>
    <w:rsid w:val="00141170"/>
    <w:rsid w:val="00141E5E"/>
    <w:rsid w:val="00142B34"/>
    <w:rsid w:val="00142BED"/>
    <w:rsid w:val="00142D9D"/>
    <w:rsid w:val="001436F6"/>
    <w:rsid w:val="00143A25"/>
    <w:rsid w:val="001442DE"/>
    <w:rsid w:val="001444C0"/>
    <w:rsid w:val="00145197"/>
    <w:rsid w:val="00145851"/>
    <w:rsid w:val="00147334"/>
    <w:rsid w:val="001474A3"/>
    <w:rsid w:val="00147C32"/>
    <w:rsid w:val="001518EC"/>
    <w:rsid w:val="00151A00"/>
    <w:rsid w:val="00151D83"/>
    <w:rsid w:val="001525C0"/>
    <w:rsid w:val="001529BC"/>
    <w:rsid w:val="00156133"/>
    <w:rsid w:val="00156366"/>
    <w:rsid w:val="001567CE"/>
    <w:rsid w:val="00157154"/>
    <w:rsid w:val="00157166"/>
    <w:rsid w:val="001572E8"/>
    <w:rsid w:val="0015780E"/>
    <w:rsid w:val="00160431"/>
    <w:rsid w:val="00162D08"/>
    <w:rsid w:val="00163654"/>
    <w:rsid w:val="0016388B"/>
    <w:rsid w:val="00164869"/>
    <w:rsid w:val="001655E4"/>
    <w:rsid w:val="00165872"/>
    <w:rsid w:val="00165A15"/>
    <w:rsid w:val="00165A5E"/>
    <w:rsid w:val="001676D8"/>
    <w:rsid w:val="00170644"/>
    <w:rsid w:val="001710BD"/>
    <w:rsid w:val="001716DF"/>
    <w:rsid w:val="0017197F"/>
    <w:rsid w:val="001735B8"/>
    <w:rsid w:val="00173EDA"/>
    <w:rsid w:val="00173F94"/>
    <w:rsid w:val="00173FE8"/>
    <w:rsid w:val="00174B27"/>
    <w:rsid w:val="00175FA6"/>
    <w:rsid w:val="001760E4"/>
    <w:rsid w:val="0017677C"/>
    <w:rsid w:val="001771AF"/>
    <w:rsid w:val="00177209"/>
    <w:rsid w:val="00177347"/>
    <w:rsid w:val="00177598"/>
    <w:rsid w:val="001775FD"/>
    <w:rsid w:val="001776C5"/>
    <w:rsid w:val="00177933"/>
    <w:rsid w:val="00177DAA"/>
    <w:rsid w:val="0018073A"/>
    <w:rsid w:val="00180763"/>
    <w:rsid w:val="00181637"/>
    <w:rsid w:val="00182171"/>
    <w:rsid w:val="00182284"/>
    <w:rsid w:val="00183324"/>
    <w:rsid w:val="00183927"/>
    <w:rsid w:val="001843F0"/>
    <w:rsid w:val="001858E1"/>
    <w:rsid w:val="00185E6E"/>
    <w:rsid w:val="001868CC"/>
    <w:rsid w:val="00186CEE"/>
    <w:rsid w:val="00187046"/>
    <w:rsid w:val="001876DE"/>
    <w:rsid w:val="00187B27"/>
    <w:rsid w:val="001903E9"/>
    <w:rsid w:val="00190E0F"/>
    <w:rsid w:val="001923FA"/>
    <w:rsid w:val="001937F9"/>
    <w:rsid w:val="00194456"/>
    <w:rsid w:val="00195587"/>
    <w:rsid w:val="00195875"/>
    <w:rsid w:val="00197436"/>
    <w:rsid w:val="00197C1F"/>
    <w:rsid w:val="001A07EB"/>
    <w:rsid w:val="001A116D"/>
    <w:rsid w:val="001A2338"/>
    <w:rsid w:val="001A2BC7"/>
    <w:rsid w:val="001A3149"/>
    <w:rsid w:val="001A4294"/>
    <w:rsid w:val="001A533A"/>
    <w:rsid w:val="001A59ED"/>
    <w:rsid w:val="001A5EF6"/>
    <w:rsid w:val="001A6116"/>
    <w:rsid w:val="001A62CD"/>
    <w:rsid w:val="001A6B60"/>
    <w:rsid w:val="001A7BAD"/>
    <w:rsid w:val="001B0314"/>
    <w:rsid w:val="001B0629"/>
    <w:rsid w:val="001B0A90"/>
    <w:rsid w:val="001B0FA5"/>
    <w:rsid w:val="001B1199"/>
    <w:rsid w:val="001B123C"/>
    <w:rsid w:val="001B1561"/>
    <w:rsid w:val="001B19CD"/>
    <w:rsid w:val="001B29FE"/>
    <w:rsid w:val="001B2E80"/>
    <w:rsid w:val="001B2F5D"/>
    <w:rsid w:val="001B33FF"/>
    <w:rsid w:val="001B35CC"/>
    <w:rsid w:val="001B62AE"/>
    <w:rsid w:val="001B6383"/>
    <w:rsid w:val="001B71E9"/>
    <w:rsid w:val="001B728F"/>
    <w:rsid w:val="001C028B"/>
    <w:rsid w:val="001C1297"/>
    <w:rsid w:val="001C2091"/>
    <w:rsid w:val="001C27E4"/>
    <w:rsid w:val="001C2B6C"/>
    <w:rsid w:val="001C2C7D"/>
    <w:rsid w:val="001C3F93"/>
    <w:rsid w:val="001C4D92"/>
    <w:rsid w:val="001C523B"/>
    <w:rsid w:val="001C6166"/>
    <w:rsid w:val="001C6990"/>
    <w:rsid w:val="001C6C33"/>
    <w:rsid w:val="001C6F6F"/>
    <w:rsid w:val="001C7198"/>
    <w:rsid w:val="001D0608"/>
    <w:rsid w:val="001D0B1F"/>
    <w:rsid w:val="001D17F4"/>
    <w:rsid w:val="001D18AF"/>
    <w:rsid w:val="001D212E"/>
    <w:rsid w:val="001D2CC3"/>
    <w:rsid w:val="001D34A5"/>
    <w:rsid w:val="001D3789"/>
    <w:rsid w:val="001D4501"/>
    <w:rsid w:val="001D472C"/>
    <w:rsid w:val="001D7656"/>
    <w:rsid w:val="001D7FD1"/>
    <w:rsid w:val="001E0677"/>
    <w:rsid w:val="001E0A01"/>
    <w:rsid w:val="001E1148"/>
    <w:rsid w:val="001E1A98"/>
    <w:rsid w:val="001E1B81"/>
    <w:rsid w:val="001E202E"/>
    <w:rsid w:val="001E2CD8"/>
    <w:rsid w:val="001E312A"/>
    <w:rsid w:val="001E35D5"/>
    <w:rsid w:val="001E3688"/>
    <w:rsid w:val="001E3BE3"/>
    <w:rsid w:val="001E45DA"/>
    <w:rsid w:val="001E4C12"/>
    <w:rsid w:val="001E52D1"/>
    <w:rsid w:val="001E54D5"/>
    <w:rsid w:val="001E583B"/>
    <w:rsid w:val="001E74CF"/>
    <w:rsid w:val="001E74D9"/>
    <w:rsid w:val="001F2218"/>
    <w:rsid w:val="001F37AC"/>
    <w:rsid w:val="001F4464"/>
    <w:rsid w:val="001F4E4E"/>
    <w:rsid w:val="001F55F5"/>
    <w:rsid w:val="001F5A2D"/>
    <w:rsid w:val="001F604B"/>
    <w:rsid w:val="001F6278"/>
    <w:rsid w:val="001F75DF"/>
    <w:rsid w:val="00201483"/>
    <w:rsid w:val="002014AE"/>
    <w:rsid w:val="0020176D"/>
    <w:rsid w:val="0020194E"/>
    <w:rsid w:val="00201FD2"/>
    <w:rsid w:val="00203E0F"/>
    <w:rsid w:val="002045A5"/>
    <w:rsid w:val="00204C13"/>
    <w:rsid w:val="00204C6B"/>
    <w:rsid w:val="00204F3A"/>
    <w:rsid w:val="00206C57"/>
    <w:rsid w:val="002070B9"/>
    <w:rsid w:val="002071DA"/>
    <w:rsid w:val="00207B74"/>
    <w:rsid w:val="00207FD0"/>
    <w:rsid w:val="002111BD"/>
    <w:rsid w:val="00212524"/>
    <w:rsid w:val="00212AC3"/>
    <w:rsid w:val="00212CE3"/>
    <w:rsid w:val="002134A8"/>
    <w:rsid w:val="002143AD"/>
    <w:rsid w:val="00214824"/>
    <w:rsid w:val="002149C0"/>
    <w:rsid w:val="002158DD"/>
    <w:rsid w:val="00215B1F"/>
    <w:rsid w:val="00216096"/>
    <w:rsid w:val="0021709B"/>
    <w:rsid w:val="00217B2D"/>
    <w:rsid w:val="00221DE7"/>
    <w:rsid w:val="002222CE"/>
    <w:rsid w:val="00222724"/>
    <w:rsid w:val="002228BA"/>
    <w:rsid w:val="00223DD4"/>
    <w:rsid w:val="00223E3F"/>
    <w:rsid w:val="00223FE3"/>
    <w:rsid w:val="00224573"/>
    <w:rsid w:val="00224FCD"/>
    <w:rsid w:val="00225121"/>
    <w:rsid w:val="00226509"/>
    <w:rsid w:val="00226D60"/>
    <w:rsid w:val="00227047"/>
    <w:rsid w:val="002276CB"/>
    <w:rsid w:val="00227C86"/>
    <w:rsid w:val="00231216"/>
    <w:rsid w:val="002314DD"/>
    <w:rsid w:val="002318AD"/>
    <w:rsid w:val="00232134"/>
    <w:rsid w:val="0023290A"/>
    <w:rsid w:val="00233D4C"/>
    <w:rsid w:val="00233FFD"/>
    <w:rsid w:val="002342D9"/>
    <w:rsid w:val="00235054"/>
    <w:rsid w:val="002367E3"/>
    <w:rsid w:val="002371BB"/>
    <w:rsid w:val="002375FD"/>
    <w:rsid w:val="00240B71"/>
    <w:rsid w:val="00240E46"/>
    <w:rsid w:val="002414DE"/>
    <w:rsid w:val="00242727"/>
    <w:rsid w:val="00242741"/>
    <w:rsid w:val="00242A44"/>
    <w:rsid w:val="0024434E"/>
    <w:rsid w:val="00245755"/>
    <w:rsid w:val="00245D4F"/>
    <w:rsid w:val="00245D96"/>
    <w:rsid w:val="0024642F"/>
    <w:rsid w:val="002464E6"/>
    <w:rsid w:val="0024659F"/>
    <w:rsid w:val="002466C4"/>
    <w:rsid w:val="00246A0E"/>
    <w:rsid w:val="00246B3D"/>
    <w:rsid w:val="00246D73"/>
    <w:rsid w:val="0024726C"/>
    <w:rsid w:val="00247DEF"/>
    <w:rsid w:val="00250220"/>
    <w:rsid w:val="0025055E"/>
    <w:rsid w:val="00250CBF"/>
    <w:rsid w:val="0025103E"/>
    <w:rsid w:val="00251D09"/>
    <w:rsid w:val="00252B49"/>
    <w:rsid w:val="002535C0"/>
    <w:rsid w:val="00253A58"/>
    <w:rsid w:val="00253AB0"/>
    <w:rsid w:val="00253BD6"/>
    <w:rsid w:val="00253F32"/>
    <w:rsid w:val="00254387"/>
    <w:rsid w:val="002559EC"/>
    <w:rsid w:val="00255B79"/>
    <w:rsid w:val="002562A1"/>
    <w:rsid w:val="00256E0B"/>
    <w:rsid w:val="00260C4A"/>
    <w:rsid w:val="00260D42"/>
    <w:rsid w:val="00261924"/>
    <w:rsid w:val="00261D6A"/>
    <w:rsid w:val="00261F7E"/>
    <w:rsid w:val="00263A47"/>
    <w:rsid w:val="00263BD2"/>
    <w:rsid w:val="00265EE6"/>
    <w:rsid w:val="0026663D"/>
    <w:rsid w:val="002667C1"/>
    <w:rsid w:val="00266F48"/>
    <w:rsid w:val="0026727A"/>
    <w:rsid w:val="00267FFA"/>
    <w:rsid w:val="00270261"/>
    <w:rsid w:val="00270602"/>
    <w:rsid w:val="00270FB3"/>
    <w:rsid w:val="00270FC5"/>
    <w:rsid w:val="002713CA"/>
    <w:rsid w:val="00273DDB"/>
    <w:rsid w:val="00274061"/>
    <w:rsid w:val="00274696"/>
    <w:rsid w:val="00274A9E"/>
    <w:rsid w:val="00274B79"/>
    <w:rsid w:val="00274E64"/>
    <w:rsid w:val="00275205"/>
    <w:rsid w:val="0027566C"/>
    <w:rsid w:val="00275C94"/>
    <w:rsid w:val="00276A40"/>
    <w:rsid w:val="002773CE"/>
    <w:rsid w:val="00280071"/>
    <w:rsid w:val="002801F8"/>
    <w:rsid w:val="00280866"/>
    <w:rsid w:val="00281301"/>
    <w:rsid w:val="002813E7"/>
    <w:rsid w:val="00281AF9"/>
    <w:rsid w:val="00282082"/>
    <w:rsid w:val="002824D3"/>
    <w:rsid w:val="00282D87"/>
    <w:rsid w:val="00284027"/>
    <w:rsid w:val="002844F8"/>
    <w:rsid w:val="00284E54"/>
    <w:rsid w:val="002850E7"/>
    <w:rsid w:val="00286B2E"/>
    <w:rsid w:val="00287559"/>
    <w:rsid w:val="00287A89"/>
    <w:rsid w:val="00287B7D"/>
    <w:rsid w:val="00290B3B"/>
    <w:rsid w:val="00290EAA"/>
    <w:rsid w:val="002927D0"/>
    <w:rsid w:val="0029286C"/>
    <w:rsid w:val="002928CA"/>
    <w:rsid w:val="00292F52"/>
    <w:rsid w:val="002930C2"/>
    <w:rsid w:val="00293401"/>
    <w:rsid w:val="0029466B"/>
    <w:rsid w:val="0029471B"/>
    <w:rsid w:val="0029581F"/>
    <w:rsid w:val="00296392"/>
    <w:rsid w:val="002967B5"/>
    <w:rsid w:val="002970AE"/>
    <w:rsid w:val="0029715D"/>
    <w:rsid w:val="00297E08"/>
    <w:rsid w:val="002A0501"/>
    <w:rsid w:val="002A06C6"/>
    <w:rsid w:val="002A0BD4"/>
    <w:rsid w:val="002A2645"/>
    <w:rsid w:val="002A2F44"/>
    <w:rsid w:val="002A2F6B"/>
    <w:rsid w:val="002A3173"/>
    <w:rsid w:val="002A332E"/>
    <w:rsid w:val="002A43E6"/>
    <w:rsid w:val="002A4453"/>
    <w:rsid w:val="002A46C0"/>
    <w:rsid w:val="002A5624"/>
    <w:rsid w:val="002A5B00"/>
    <w:rsid w:val="002A5B3B"/>
    <w:rsid w:val="002A62C0"/>
    <w:rsid w:val="002A6387"/>
    <w:rsid w:val="002A670A"/>
    <w:rsid w:val="002A6DA5"/>
    <w:rsid w:val="002A728F"/>
    <w:rsid w:val="002B014C"/>
    <w:rsid w:val="002B086B"/>
    <w:rsid w:val="002B18B8"/>
    <w:rsid w:val="002B1F2A"/>
    <w:rsid w:val="002B23D4"/>
    <w:rsid w:val="002B284F"/>
    <w:rsid w:val="002B3A1D"/>
    <w:rsid w:val="002B4150"/>
    <w:rsid w:val="002B6210"/>
    <w:rsid w:val="002B6B8A"/>
    <w:rsid w:val="002B6CC0"/>
    <w:rsid w:val="002B6DA4"/>
    <w:rsid w:val="002B7664"/>
    <w:rsid w:val="002B77DA"/>
    <w:rsid w:val="002B7B8F"/>
    <w:rsid w:val="002C03AB"/>
    <w:rsid w:val="002C1CDF"/>
    <w:rsid w:val="002C1D9F"/>
    <w:rsid w:val="002C2092"/>
    <w:rsid w:val="002C2781"/>
    <w:rsid w:val="002C31B7"/>
    <w:rsid w:val="002C33AD"/>
    <w:rsid w:val="002C3BF3"/>
    <w:rsid w:val="002C3D6F"/>
    <w:rsid w:val="002C3E8B"/>
    <w:rsid w:val="002C4045"/>
    <w:rsid w:val="002C44C3"/>
    <w:rsid w:val="002C4726"/>
    <w:rsid w:val="002C531B"/>
    <w:rsid w:val="002C58F7"/>
    <w:rsid w:val="002C5B54"/>
    <w:rsid w:val="002C5E62"/>
    <w:rsid w:val="002C6525"/>
    <w:rsid w:val="002C6CAB"/>
    <w:rsid w:val="002C74A1"/>
    <w:rsid w:val="002C7E24"/>
    <w:rsid w:val="002D0225"/>
    <w:rsid w:val="002D13F5"/>
    <w:rsid w:val="002D18AB"/>
    <w:rsid w:val="002D19ED"/>
    <w:rsid w:val="002D1F91"/>
    <w:rsid w:val="002D2B2C"/>
    <w:rsid w:val="002D382F"/>
    <w:rsid w:val="002D4679"/>
    <w:rsid w:val="002D4B4E"/>
    <w:rsid w:val="002D5C7E"/>
    <w:rsid w:val="002D6B52"/>
    <w:rsid w:val="002D7620"/>
    <w:rsid w:val="002D7B18"/>
    <w:rsid w:val="002E0955"/>
    <w:rsid w:val="002E0DBE"/>
    <w:rsid w:val="002E2712"/>
    <w:rsid w:val="002E3271"/>
    <w:rsid w:val="002E3C0E"/>
    <w:rsid w:val="002E3EBF"/>
    <w:rsid w:val="002E4459"/>
    <w:rsid w:val="002E445F"/>
    <w:rsid w:val="002E4DA9"/>
    <w:rsid w:val="002E4ED0"/>
    <w:rsid w:val="002E528E"/>
    <w:rsid w:val="002E610C"/>
    <w:rsid w:val="002E7514"/>
    <w:rsid w:val="002F13FC"/>
    <w:rsid w:val="002F15DC"/>
    <w:rsid w:val="002F18CF"/>
    <w:rsid w:val="002F1A38"/>
    <w:rsid w:val="002F1BBC"/>
    <w:rsid w:val="002F25C4"/>
    <w:rsid w:val="002F2F8D"/>
    <w:rsid w:val="002F311F"/>
    <w:rsid w:val="002F3D71"/>
    <w:rsid w:val="002F3E28"/>
    <w:rsid w:val="002F5019"/>
    <w:rsid w:val="002F53FD"/>
    <w:rsid w:val="002F612A"/>
    <w:rsid w:val="002F65B7"/>
    <w:rsid w:val="002F6603"/>
    <w:rsid w:val="002F765D"/>
    <w:rsid w:val="003012B6"/>
    <w:rsid w:val="003016C9"/>
    <w:rsid w:val="0030197D"/>
    <w:rsid w:val="003019F6"/>
    <w:rsid w:val="00301D70"/>
    <w:rsid w:val="00302166"/>
    <w:rsid w:val="0030422A"/>
    <w:rsid w:val="003042BD"/>
    <w:rsid w:val="00305825"/>
    <w:rsid w:val="00305C95"/>
    <w:rsid w:val="0030648F"/>
    <w:rsid w:val="00306CC4"/>
    <w:rsid w:val="00306CD8"/>
    <w:rsid w:val="00306FD1"/>
    <w:rsid w:val="00307592"/>
    <w:rsid w:val="003108C7"/>
    <w:rsid w:val="00311FCD"/>
    <w:rsid w:val="00312391"/>
    <w:rsid w:val="00312A6D"/>
    <w:rsid w:val="003130EC"/>
    <w:rsid w:val="0031352E"/>
    <w:rsid w:val="003135E0"/>
    <w:rsid w:val="0031433C"/>
    <w:rsid w:val="00314FE2"/>
    <w:rsid w:val="0031526D"/>
    <w:rsid w:val="0031596D"/>
    <w:rsid w:val="00315EBD"/>
    <w:rsid w:val="00316715"/>
    <w:rsid w:val="00316ACE"/>
    <w:rsid w:val="00317161"/>
    <w:rsid w:val="00317F07"/>
    <w:rsid w:val="00317FE0"/>
    <w:rsid w:val="0032156B"/>
    <w:rsid w:val="00321B5A"/>
    <w:rsid w:val="00321D59"/>
    <w:rsid w:val="00323C80"/>
    <w:rsid w:val="003241D3"/>
    <w:rsid w:val="003242DD"/>
    <w:rsid w:val="00324D5C"/>
    <w:rsid w:val="00325822"/>
    <w:rsid w:val="00325FB6"/>
    <w:rsid w:val="00326568"/>
    <w:rsid w:val="003267FA"/>
    <w:rsid w:val="00326BA7"/>
    <w:rsid w:val="00326E4C"/>
    <w:rsid w:val="003270B4"/>
    <w:rsid w:val="00327756"/>
    <w:rsid w:val="00331016"/>
    <w:rsid w:val="003314AE"/>
    <w:rsid w:val="003314DD"/>
    <w:rsid w:val="00331689"/>
    <w:rsid w:val="003333D5"/>
    <w:rsid w:val="0033431A"/>
    <w:rsid w:val="00334B3A"/>
    <w:rsid w:val="00334D33"/>
    <w:rsid w:val="00336AC7"/>
    <w:rsid w:val="00337042"/>
    <w:rsid w:val="00340140"/>
    <w:rsid w:val="00341B5C"/>
    <w:rsid w:val="00342071"/>
    <w:rsid w:val="0034209E"/>
    <w:rsid w:val="0034367C"/>
    <w:rsid w:val="00344473"/>
    <w:rsid w:val="00344672"/>
    <w:rsid w:val="0034618E"/>
    <w:rsid w:val="00346CEE"/>
    <w:rsid w:val="00347264"/>
    <w:rsid w:val="00350E53"/>
    <w:rsid w:val="003511C3"/>
    <w:rsid w:val="00352021"/>
    <w:rsid w:val="00353240"/>
    <w:rsid w:val="00354081"/>
    <w:rsid w:val="003544E8"/>
    <w:rsid w:val="00354907"/>
    <w:rsid w:val="0035528E"/>
    <w:rsid w:val="0035673A"/>
    <w:rsid w:val="00356BB1"/>
    <w:rsid w:val="00360061"/>
    <w:rsid w:val="00360AB9"/>
    <w:rsid w:val="003610DF"/>
    <w:rsid w:val="00361417"/>
    <w:rsid w:val="00361F71"/>
    <w:rsid w:val="003626F4"/>
    <w:rsid w:val="003627C3"/>
    <w:rsid w:val="0036296B"/>
    <w:rsid w:val="00362A7A"/>
    <w:rsid w:val="00362E9B"/>
    <w:rsid w:val="00363557"/>
    <w:rsid w:val="003646AF"/>
    <w:rsid w:val="00366871"/>
    <w:rsid w:val="0037049E"/>
    <w:rsid w:val="00371482"/>
    <w:rsid w:val="003731F1"/>
    <w:rsid w:val="00373247"/>
    <w:rsid w:val="003734F1"/>
    <w:rsid w:val="003735AE"/>
    <w:rsid w:val="00375F33"/>
    <w:rsid w:val="0037625A"/>
    <w:rsid w:val="003763D1"/>
    <w:rsid w:val="00376AFA"/>
    <w:rsid w:val="00376BC0"/>
    <w:rsid w:val="00376BCE"/>
    <w:rsid w:val="003773BE"/>
    <w:rsid w:val="00377419"/>
    <w:rsid w:val="0037781A"/>
    <w:rsid w:val="003807C6"/>
    <w:rsid w:val="00380D98"/>
    <w:rsid w:val="00380E0D"/>
    <w:rsid w:val="00380FBB"/>
    <w:rsid w:val="00380FCE"/>
    <w:rsid w:val="003826D7"/>
    <w:rsid w:val="00382985"/>
    <w:rsid w:val="00383030"/>
    <w:rsid w:val="0038451D"/>
    <w:rsid w:val="00384D69"/>
    <w:rsid w:val="0038521A"/>
    <w:rsid w:val="00386086"/>
    <w:rsid w:val="003861C5"/>
    <w:rsid w:val="00386509"/>
    <w:rsid w:val="003872F4"/>
    <w:rsid w:val="00387CD4"/>
    <w:rsid w:val="00387EFE"/>
    <w:rsid w:val="00387FAA"/>
    <w:rsid w:val="00390B04"/>
    <w:rsid w:val="00390FB0"/>
    <w:rsid w:val="003917AC"/>
    <w:rsid w:val="00391DBE"/>
    <w:rsid w:val="00392015"/>
    <w:rsid w:val="00392A64"/>
    <w:rsid w:val="00392C24"/>
    <w:rsid w:val="003932C5"/>
    <w:rsid w:val="003939C4"/>
    <w:rsid w:val="003943DA"/>
    <w:rsid w:val="0039557A"/>
    <w:rsid w:val="00395D14"/>
    <w:rsid w:val="0039666B"/>
    <w:rsid w:val="00397B56"/>
    <w:rsid w:val="00397BBF"/>
    <w:rsid w:val="003A0A45"/>
    <w:rsid w:val="003A1A21"/>
    <w:rsid w:val="003A3026"/>
    <w:rsid w:val="003A4240"/>
    <w:rsid w:val="003A48E2"/>
    <w:rsid w:val="003A4A7D"/>
    <w:rsid w:val="003A59BA"/>
    <w:rsid w:val="003A6F71"/>
    <w:rsid w:val="003A7342"/>
    <w:rsid w:val="003A775F"/>
    <w:rsid w:val="003A7F40"/>
    <w:rsid w:val="003B0596"/>
    <w:rsid w:val="003B07A6"/>
    <w:rsid w:val="003B0874"/>
    <w:rsid w:val="003B08B8"/>
    <w:rsid w:val="003B16A2"/>
    <w:rsid w:val="003B1848"/>
    <w:rsid w:val="003B1AC8"/>
    <w:rsid w:val="003B1C63"/>
    <w:rsid w:val="003B400F"/>
    <w:rsid w:val="003B4125"/>
    <w:rsid w:val="003B431E"/>
    <w:rsid w:val="003B43E4"/>
    <w:rsid w:val="003B495C"/>
    <w:rsid w:val="003B4AA2"/>
    <w:rsid w:val="003B550F"/>
    <w:rsid w:val="003B55E8"/>
    <w:rsid w:val="003B5EE1"/>
    <w:rsid w:val="003B6832"/>
    <w:rsid w:val="003B6E46"/>
    <w:rsid w:val="003B7657"/>
    <w:rsid w:val="003B7903"/>
    <w:rsid w:val="003B7FB2"/>
    <w:rsid w:val="003C0D1F"/>
    <w:rsid w:val="003C1E12"/>
    <w:rsid w:val="003C279B"/>
    <w:rsid w:val="003C3303"/>
    <w:rsid w:val="003C3C2D"/>
    <w:rsid w:val="003C3D7E"/>
    <w:rsid w:val="003C587A"/>
    <w:rsid w:val="003C5D97"/>
    <w:rsid w:val="003C5E92"/>
    <w:rsid w:val="003C65FB"/>
    <w:rsid w:val="003C7168"/>
    <w:rsid w:val="003D05C7"/>
    <w:rsid w:val="003D1D82"/>
    <w:rsid w:val="003D1EDD"/>
    <w:rsid w:val="003D427B"/>
    <w:rsid w:val="003D5244"/>
    <w:rsid w:val="003D6167"/>
    <w:rsid w:val="003D73A3"/>
    <w:rsid w:val="003D74E1"/>
    <w:rsid w:val="003D7998"/>
    <w:rsid w:val="003E0391"/>
    <w:rsid w:val="003E0B15"/>
    <w:rsid w:val="003E0E0E"/>
    <w:rsid w:val="003E0EA4"/>
    <w:rsid w:val="003E13C5"/>
    <w:rsid w:val="003E17B8"/>
    <w:rsid w:val="003E1849"/>
    <w:rsid w:val="003E187E"/>
    <w:rsid w:val="003E1BFB"/>
    <w:rsid w:val="003E292B"/>
    <w:rsid w:val="003E2B71"/>
    <w:rsid w:val="003E3974"/>
    <w:rsid w:val="003E3B8C"/>
    <w:rsid w:val="003E3E12"/>
    <w:rsid w:val="003E4303"/>
    <w:rsid w:val="003E48DA"/>
    <w:rsid w:val="003E6325"/>
    <w:rsid w:val="003E696A"/>
    <w:rsid w:val="003E7052"/>
    <w:rsid w:val="003E7073"/>
    <w:rsid w:val="003E7B9F"/>
    <w:rsid w:val="003F0CA8"/>
    <w:rsid w:val="003F0E2F"/>
    <w:rsid w:val="003F1835"/>
    <w:rsid w:val="003F1C8D"/>
    <w:rsid w:val="003F1D69"/>
    <w:rsid w:val="003F1E10"/>
    <w:rsid w:val="003F2087"/>
    <w:rsid w:val="003F2733"/>
    <w:rsid w:val="003F297B"/>
    <w:rsid w:val="003F2EF6"/>
    <w:rsid w:val="003F39A2"/>
    <w:rsid w:val="003F3B41"/>
    <w:rsid w:val="003F3D73"/>
    <w:rsid w:val="003F3DC7"/>
    <w:rsid w:val="003F5570"/>
    <w:rsid w:val="003F68EA"/>
    <w:rsid w:val="003F7393"/>
    <w:rsid w:val="003F73BE"/>
    <w:rsid w:val="003F75AA"/>
    <w:rsid w:val="004002B3"/>
    <w:rsid w:val="00400985"/>
    <w:rsid w:val="00400A33"/>
    <w:rsid w:val="004011ED"/>
    <w:rsid w:val="00401C8C"/>
    <w:rsid w:val="004027BA"/>
    <w:rsid w:val="00402AA3"/>
    <w:rsid w:val="00402E0A"/>
    <w:rsid w:val="00403FBC"/>
    <w:rsid w:val="0040473C"/>
    <w:rsid w:val="0040488D"/>
    <w:rsid w:val="00404ADD"/>
    <w:rsid w:val="004052D9"/>
    <w:rsid w:val="0040533D"/>
    <w:rsid w:val="00405910"/>
    <w:rsid w:val="0040636E"/>
    <w:rsid w:val="004072DB"/>
    <w:rsid w:val="00407359"/>
    <w:rsid w:val="00410781"/>
    <w:rsid w:val="0041312A"/>
    <w:rsid w:val="0041360B"/>
    <w:rsid w:val="0041368F"/>
    <w:rsid w:val="00413DDE"/>
    <w:rsid w:val="00413F6D"/>
    <w:rsid w:val="00414511"/>
    <w:rsid w:val="0041474B"/>
    <w:rsid w:val="00414E5A"/>
    <w:rsid w:val="004153B6"/>
    <w:rsid w:val="004157EC"/>
    <w:rsid w:val="00417671"/>
    <w:rsid w:val="004178B5"/>
    <w:rsid w:val="00417B06"/>
    <w:rsid w:val="00420C88"/>
    <w:rsid w:val="0042162C"/>
    <w:rsid w:val="00421A1D"/>
    <w:rsid w:val="00421B87"/>
    <w:rsid w:val="004236E4"/>
    <w:rsid w:val="00423E82"/>
    <w:rsid w:val="004263CC"/>
    <w:rsid w:val="0042648F"/>
    <w:rsid w:val="004265EC"/>
    <w:rsid w:val="00427FB1"/>
    <w:rsid w:val="00430857"/>
    <w:rsid w:val="00431E99"/>
    <w:rsid w:val="004324FF"/>
    <w:rsid w:val="00433297"/>
    <w:rsid w:val="004338BE"/>
    <w:rsid w:val="00433915"/>
    <w:rsid w:val="00433CAC"/>
    <w:rsid w:val="00433F06"/>
    <w:rsid w:val="00434836"/>
    <w:rsid w:val="00435D74"/>
    <w:rsid w:val="00435FC8"/>
    <w:rsid w:val="004362C1"/>
    <w:rsid w:val="00436470"/>
    <w:rsid w:val="0043734E"/>
    <w:rsid w:val="00440F91"/>
    <w:rsid w:val="00441216"/>
    <w:rsid w:val="00441620"/>
    <w:rsid w:val="00441890"/>
    <w:rsid w:val="00441AA3"/>
    <w:rsid w:val="00441D13"/>
    <w:rsid w:val="004423B0"/>
    <w:rsid w:val="00442F08"/>
    <w:rsid w:val="004435D7"/>
    <w:rsid w:val="00443FC4"/>
    <w:rsid w:val="00444768"/>
    <w:rsid w:val="00444922"/>
    <w:rsid w:val="00445489"/>
    <w:rsid w:val="00445FAD"/>
    <w:rsid w:val="00446814"/>
    <w:rsid w:val="00447506"/>
    <w:rsid w:val="00450CD3"/>
    <w:rsid w:val="00450FF6"/>
    <w:rsid w:val="004510BF"/>
    <w:rsid w:val="00452592"/>
    <w:rsid w:val="004529A9"/>
    <w:rsid w:val="00452D91"/>
    <w:rsid w:val="004530D9"/>
    <w:rsid w:val="00453996"/>
    <w:rsid w:val="00453B30"/>
    <w:rsid w:val="00454D2C"/>
    <w:rsid w:val="004552B7"/>
    <w:rsid w:val="00456301"/>
    <w:rsid w:val="00456BE7"/>
    <w:rsid w:val="004600FF"/>
    <w:rsid w:val="00460665"/>
    <w:rsid w:val="00460BD4"/>
    <w:rsid w:val="00460F0B"/>
    <w:rsid w:val="00461391"/>
    <w:rsid w:val="00462C90"/>
    <w:rsid w:val="00462E69"/>
    <w:rsid w:val="004637B5"/>
    <w:rsid w:val="004638F5"/>
    <w:rsid w:val="00463C3F"/>
    <w:rsid w:val="00464FB7"/>
    <w:rsid w:val="004653EA"/>
    <w:rsid w:val="00466279"/>
    <w:rsid w:val="00466DD8"/>
    <w:rsid w:val="0046749A"/>
    <w:rsid w:val="004674E9"/>
    <w:rsid w:val="0046750C"/>
    <w:rsid w:val="00467EB3"/>
    <w:rsid w:val="00470C48"/>
    <w:rsid w:val="00470F73"/>
    <w:rsid w:val="004718C0"/>
    <w:rsid w:val="00471F2E"/>
    <w:rsid w:val="004722F5"/>
    <w:rsid w:val="00472BF2"/>
    <w:rsid w:val="00472FB8"/>
    <w:rsid w:val="004731E9"/>
    <w:rsid w:val="00473E4F"/>
    <w:rsid w:val="00474074"/>
    <w:rsid w:val="00474C2D"/>
    <w:rsid w:val="004755DF"/>
    <w:rsid w:val="00475666"/>
    <w:rsid w:val="0047596B"/>
    <w:rsid w:val="00476136"/>
    <w:rsid w:val="00476A00"/>
    <w:rsid w:val="00476D0F"/>
    <w:rsid w:val="00480129"/>
    <w:rsid w:val="00480925"/>
    <w:rsid w:val="00480A8B"/>
    <w:rsid w:val="00480F9D"/>
    <w:rsid w:val="004812A7"/>
    <w:rsid w:val="00481FE1"/>
    <w:rsid w:val="00482204"/>
    <w:rsid w:val="004823A6"/>
    <w:rsid w:val="00482461"/>
    <w:rsid w:val="004828FD"/>
    <w:rsid w:val="00482BF6"/>
    <w:rsid w:val="00482EBF"/>
    <w:rsid w:val="0048300F"/>
    <w:rsid w:val="0048453D"/>
    <w:rsid w:val="0048523B"/>
    <w:rsid w:val="0048599F"/>
    <w:rsid w:val="004859D1"/>
    <w:rsid w:val="0048612B"/>
    <w:rsid w:val="00487B66"/>
    <w:rsid w:val="00490A90"/>
    <w:rsid w:val="004913AA"/>
    <w:rsid w:val="00492474"/>
    <w:rsid w:val="00492865"/>
    <w:rsid w:val="00492A8D"/>
    <w:rsid w:val="00492C5D"/>
    <w:rsid w:val="0049380D"/>
    <w:rsid w:val="00493899"/>
    <w:rsid w:val="004940AF"/>
    <w:rsid w:val="00494CC8"/>
    <w:rsid w:val="00494FA4"/>
    <w:rsid w:val="004953DE"/>
    <w:rsid w:val="004954A1"/>
    <w:rsid w:val="00495687"/>
    <w:rsid w:val="00495F5F"/>
    <w:rsid w:val="00496114"/>
    <w:rsid w:val="0049651A"/>
    <w:rsid w:val="00497C84"/>
    <w:rsid w:val="00497F00"/>
    <w:rsid w:val="00497F6C"/>
    <w:rsid w:val="004A00DF"/>
    <w:rsid w:val="004A109D"/>
    <w:rsid w:val="004A1E48"/>
    <w:rsid w:val="004A377B"/>
    <w:rsid w:val="004A3EF8"/>
    <w:rsid w:val="004A4573"/>
    <w:rsid w:val="004A47F5"/>
    <w:rsid w:val="004A5851"/>
    <w:rsid w:val="004A69AF"/>
    <w:rsid w:val="004B0103"/>
    <w:rsid w:val="004B08B8"/>
    <w:rsid w:val="004B0945"/>
    <w:rsid w:val="004B0F33"/>
    <w:rsid w:val="004B0FEF"/>
    <w:rsid w:val="004B1697"/>
    <w:rsid w:val="004B17B0"/>
    <w:rsid w:val="004B18A3"/>
    <w:rsid w:val="004B1ED7"/>
    <w:rsid w:val="004B2BCC"/>
    <w:rsid w:val="004B2BF6"/>
    <w:rsid w:val="004B2EC1"/>
    <w:rsid w:val="004B38BF"/>
    <w:rsid w:val="004B44CD"/>
    <w:rsid w:val="004B4FD6"/>
    <w:rsid w:val="004B5D36"/>
    <w:rsid w:val="004B5E0C"/>
    <w:rsid w:val="004B656A"/>
    <w:rsid w:val="004B68B8"/>
    <w:rsid w:val="004B729D"/>
    <w:rsid w:val="004B76B3"/>
    <w:rsid w:val="004B77DF"/>
    <w:rsid w:val="004B7ED7"/>
    <w:rsid w:val="004C230A"/>
    <w:rsid w:val="004C2495"/>
    <w:rsid w:val="004C2751"/>
    <w:rsid w:val="004C33BD"/>
    <w:rsid w:val="004C3E54"/>
    <w:rsid w:val="004C5337"/>
    <w:rsid w:val="004C655C"/>
    <w:rsid w:val="004C6AEC"/>
    <w:rsid w:val="004C7967"/>
    <w:rsid w:val="004C7FF1"/>
    <w:rsid w:val="004D002C"/>
    <w:rsid w:val="004D0495"/>
    <w:rsid w:val="004D05B4"/>
    <w:rsid w:val="004D0A23"/>
    <w:rsid w:val="004D1A0F"/>
    <w:rsid w:val="004D1D24"/>
    <w:rsid w:val="004D1E9E"/>
    <w:rsid w:val="004D2788"/>
    <w:rsid w:val="004D290D"/>
    <w:rsid w:val="004D2D85"/>
    <w:rsid w:val="004D2EF6"/>
    <w:rsid w:val="004D4ADD"/>
    <w:rsid w:val="004D4B23"/>
    <w:rsid w:val="004D55C5"/>
    <w:rsid w:val="004D57F8"/>
    <w:rsid w:val="004D63C3"/>
    <w:rsid w:val="004D6A5B"/>
    <w:rsid w:val="004D6DAA"/>
    <w:rsid w:val="004D6E0A"/>
    <w:rsid w:val="004D7300"/>
    <w:rsid w:val="004D77B0"/>
    <w:rsid w:val="004D7AA6"/>
    <w:rsid w:val="004D7B8D"/>
    <w:rsid w:val="004D7CDD"/>
    <w:rsid w:val="004E0F7B"/>
    <w:rsid w:val="004E1259"/>
    <w:rsid w:val="004E1428"/>
    <w:rsid w:val="004E1947"/>
    <w:rsid w:val="004E2533"/>
    <w:rsid w:val="004E25B6"/>
    <w:rsid w:val="004E4956"/>
    <w:rsid w:val="004E542A"/>
    <w:rsid w:val="004E54F0"/>
    <w:rsid w:val="004E57B5"/>
    <w:rsid w:val="004E58F5"/>
    <w:rsid w:val="004E595B"/>
    <w:rsid w:val="004E5A72"/>
    <w:rsid w:val="004E5E5E"/>
    <w:rsid w:val="004E653E"/>
    <w:rsid w:val="004E754E"/>
    <w:rsid w:val="004F0711"/>
    <w:rsid w:val="004F0E28"/>
    <w:rsid w:val="004F11CE"/>
    <w:rsid w:val="004F19AE"/>
    <w:rsid w:val="004F2695"/>
    <w:rsid w:val="004F2B9D"/>
    <w:rsid w:val="004F2BF3"/>
    <w:rsid w:val="004F365D"/>
    <w:rsid w:val="004F4B57"/>
    <w:rsid w:val="004F4BA5"/>
    <w:rsid w:val="004F4FCA"/>
    <w:rsid w:val="004F524B"/>
    <w:rsid w:val="004F57F2"/>
    <w:rsid w:val="004F7222"/>
    <w:rsid w:val="004F7867"/>
    <w:rsid w:val="00500668"/>
    <w:rsid w:val="00500C97"/>
    <w:rsid w:val="00501086"/>
    <w:rsid w:val="00502258"/>
    <w:rsid w:val="005028F4"/>
    <w:rsid w:val="00502A38"/>
    <w:rsid w:val="00503460"/>
    <w:rsid w:val="00503495"/>
    <w:rsid w:val="00503553"/>
    <w:rsid w:val="00503792"/>
    <w:rsid w:val="00503875"/>
    <w:rsid w:val="00504062"/>
    <w:rsid w:val="005040C1"/>
    <w:rsid w:val="005047C4"/>
    <w:rsid w:val="00504887"/>
    <w:rsid w:val="00505294"/>
    <w:rsid w:val="00506A0A"/>
    <w:rsid w:val="00506A60"/>
    <w:rsid w:val="00506F76"/>
    <w:rsid w:val="0050713C"/>
    <w:rsid w:val="00507757"/>
    <w:rsid w:val="0050785A"/>
    <w:rsid w:val="00511502"/>
    <w:rsid w:val="00511A65"/>
    <w:rsid w:val="00512B7D"/>
    <w:rsid w:val="00512CA8"/>
    <w:rsid w:val="00512D1A"/>
    <w:rsid w:val="005132E3"/>
    <w:rsid w:val="00513916"/>
    <w:rsid w:val="00513999"/>
    <w:rsid w:val="00513D60"/>
    <w:rsid w:val="00515C92"/>
    <w:rsid w:val="00516263"/>
    <w:rsid w:val="00516338"/>
    <w:rsid w:val="005165B0"/>
    <w:rsid w:val="005168F8"/>
    <w:rsid w:val="00517685"/>
    <w:rsid w:val="005202C8"/>
    <w:rsid w:val="00520790"/>
    <w:rsid w:val="00520ED0"/>
    <w:rsid w:val="00523700"/>
    <w:rsid w:val="00523B40"/>
    <w:rsid w:val="00523D53"/>
    <w:rsid w:val="0052400A"/>
    <w:rsid w:val="005254FF"/>
    <w:rsid w:val="00525C6A"/>
    <w:rsid w:val="00525E54"/>
    <w:rsid w:val="0052648D"/>
    <w:rsid w:val="005267DA"/>
    <w:rsid w:val="005276B0"/>
    <w:rsid w:val="00527811"/>
    <w:rsid w:val="0053023D"/>
    <w:rsid w:val="00530E8C"/>
    <w:rsid w:val="0053228F"/>
    <w:rsid w:val="00532CE0"/>
    <w:rsid w:val="00532E60"/>
    <w:rsid w:val="0053396B"/>
    <w:rsid w:val="00533D56"/>
    <w:rsid w:val="005348DF"/>
    <w:rsid w:val="0053539A"/>
    <w:rsid w:val="00535781"/>
    <w:rsid w:val="005364EA"/>
    <w:rsid w:val="0053705D"/>
    <w:rsid w:val="0054025D"/>
    <w:rsid w:val="0054032C"/>
    <w:rsid w:val="0054196E"/>
    <w:rsid w:val="005420F2"/>
    <w:rsid w:val="00543669"/>
    <w:rsid w:val="00543D9E"/>
    <w:rsid w:val="00544124"/>
    <w:rsid w:val="0054421E"/>
    <w:rsid w:val="005442E6"/>
    <w:rsid w:val="00544DA7"/>
    <w:rsid w:val="00544F2B"/>
    <w:rsid w:val="00550586"/>
    <w:rsid w:val="005505E0"/>
    <w:rsid w:val="00550B5B"/>
    <w:rsid w:val="00550FED"/>
    <w:rsid w:val="0055123F"/>
    <w:rsid w:val="00551400"/>
    <w:rsid w:val="00551683"/>
    <w:rsid w:val="00554A2A"/>
    <w:rsid w:val="00554EE7"/>
    <w:rsid w:val="0055504C"/>
    <w:rsid w:val="005555A1"/>
    <w:rsid w:val="00557C6F"/>
    <w:rsid w:val="00560E13"/>
    <w:rsid w:val="005614B7"/>
    <w:rsid w:val="00561545"/>
    <w:rsid w:val="00562A98"/>
    <w:rsid w:val="0056302A"/>
    <w:rsid w:val="00563427"/>
    <w:rsid w:val="00563498"/>
    <w:rsid w:val="00563F54"/>
    <w:rsid w:val="00564655"/>
    <w:rsid w:val="00564771"/>
    <w:rsid w:val="00564998"/>
    <w:rsid w:val="0056703C"/>
    <w:rsid w:val="005708F1"/>
    <w:rsid w:val="0057145A"/>
    <w:rsid w:val="0057182B"/>
    <w:rsid w:val="00571BA6"/>
    <w:rsid w:val="00571F1B"/>
    <w:rsid w:val="00572498"/>
    <w:rsid w:val="005726B1"/>
    <w:rsid w:val="00572A18"/>
    <w:rsid w:val="005731F9"/>
    <w:rsid w:val="0057332A"/>
    <w:rsid w:val="00573A50"/>
    <w:rsid w:val="00573FC1"/>
    <w:rsid w:val="00574003"/>
    <w:rsid w:val="005745E2"/>
    <w:rsid w:val="0057492D"/>
    <w:rsid w:val="00575360"/>
    <w:rsid w:val="005758E2"/>
    <w:rsid w:val="00575D94"/>
    <w:rsid w:val="0057711E"/>
    <w:rsid w:val="005778BA"/>
    <w:rsid w:val="0058002F"/>
    <w:rsid w:val="00580156"/>
    <w:rsid w:val="00580D4E"/>
    <w:rsid w:val="00581FC0"/>
    <w:rsid w:val="00582B3C"/>
    <w:rsid w:val="00582DF3"/>
    <w:rsid w:val="00583FFF"/>
    <w:rsid w:val="0058430A"/>
    <w:rsid w:val="0058435E"/>
    <w:rsid w:val="00584722"/>
    <w:rsid w:val="00585C93"/>
    <w:rsid w:val="00586465"/>
    <w:rsid w:val="00586B16"/>
    <w:rsid w:val="00586EF1"/>
    <w:rsid w:val="005911BB"/>
    <w:rsid w:val="00591ADB"/>
    <w:rsid w:val="0059217E"/>
    <w:rsid w:val="005923F9"/>
    <w:rsid w:val="00592B9B"/>
    <w:rsid w:val="0059328E"/>
    <w:rsid w:val="0059487D"/>
    <w:rsid w:val="00594AD3"/>
    <w:rsid w:val="00595338"/>
    <w:rsid w:val="0059543A"/>
    <w:rsid w:val="00596431"/>
    <w:rsid w:val="00596523"/>
    <w:rsid w:val="00596558"/>
    <w:rsid w:val="005966DD"/>
    <w:rsid w:val="00596FB3"/>
    <w:rsid w:val="0059770D"/>
    <w:rsid w:val="00597739"/>
    <w:rsid w:val="00597913"/>
    <w:rsid w:val="00597C5E"/>
    <w:rsid w:val="005A08D3"/>
    <w:rsid w:val="005A10A9"/>
    <w:rsid w:val="005A16D8"/>
    <w:rsid w:val="005A2892"/>
    <w:rsid w:val="005A2F6F"/>
    <w:rsid w:val="005A3D2C"/>
    <w:rsid w:val="005A4DDA"/>
    <w:rsid w:val="005A4E27"/>
    <w:rsid w:val="005A5F95"/>
    <w:rsid w:val="005A6AF8"/>
    <w:rsid w:val="005A6DA7"/>
    <w:rsid w:val="005A7155"/>
    <w:rsid w:val="005B0122"/>
    <w:rsid w:val="005B084F"/>
    <w:rsid w:val="005B19AE"/>
    <w:rsid w:val="005B2385"/>
    <w:rsid w:val="005B3562"/>
    <w:rsid w:val="005B4F12"/>
    <w:rsid w:val="005B503E"/>
    <w:rsid w:val="005B57F6"/>
    <w:rsid w:val="005B58BD"/>
    <w:rsid w:val="005B644E"/>
    <w:rsid w:val="005C03FC"/>
    <w:rsid w:val="005C08F7"/>
    <w:rsid w:val="005C09E9"/>
    <w:rsid w:val="005C0B65"/>
    <w:rsid w:val="005C0D5D"/>
    <w:rsid w:val="005C1F0F"/>
    <w:rsid w:val="005C222D"/>
    <w:rsid w:val="005C25B7"/>
    <w:rsid w:val="005C3074"/>
    <w:rsid w:val="005C3DC7"/>
    <w:rsid w:val="005C4445"/>
    <w:rsid w:val="005C4771"/>
    <w:rsid w:val="005C4B18"/>
    <w:rsid w:val="005C5C23"/>
    <w:rsid w:val="005C6AE6"/>
    <w:rsid w:val="005C6E8B"/>
    <w:rsid w:val="005C71C0"/>
    <w:rsid w:val="005C734A"/>
    <w:rsid w:val="005C7AF2"/>
    <w:rsid w:val="005D0D2D"/>
    <w:rsid w:val="005D0E8A"/>
    <w:rsid w:val="005D17D5"/>
    <w:rsid w:val="005D1C1C"/>
    <w:rsid w:val="005D208D"/>
    <w:rsid w:val="005D2FDC"/>
    <w:rsid w:val="005D3A8A"/>
    <w:rsid w:val="005D3F09"/>
    <w:rsid w:val="005D48E3"/>
    <w:rsid w:val="005D5093"/>
    <w:rsid w:val="005D5300"/>
    <w:rsid w:val="005D5AA8"/>
    <w:rsid w:val="005D5AC5"/>
    <w:rsid w:val="005D7142"/>
    <w:rsid w:val="005D7783"/>
    <w:rsid w:val="005D7B0D"/>
    <w:rsid w:val="005E145A"/>
    <w:rsid w:val="005E15A3"/>
    <w:rsid w:val="005E23E9"/>
    <w:rsid w:val="005E2705"/>
    <w:rsid w:val="005E3045"/>
    <w:rsid w:val="005E3872"/>
    <w:rsid w:val="005E3B31"/>
    <w:rsid w:val="005E3EAC"/>
    <w:rsid w:val="005E44B9"/>
    <w:rsid w:val="005E4E1A"/>
    <w:rsid w:val="005E5EF9"/>
    <w:rsid w:val="005E6DEC"/>
    <w:rsid w:val="005E7E1C"/>
    <w:rsid w:val="005E7FDB"/>
    <w:rsid w:val="005F1CFC"/>
    <w:rsid w:val="005F20F9"/>
    <w:rsid w:val="005F229F"/>
    <w:rsid w:val="005F261A"/>
    <w:rsid w:val="005F2B34"/>
    <w:rsid w:val="005F5AC8"/>
    <w:rsid w:val="005F6014"/>
    <w:rsid w:val="005F639C"/>
    <w:rsid w:val="005F6A82"/>
    <w:rsid w:val="005F6E15"/>
    <w:rsid w:val="0060041F"/>
    <w:rsid w:val="00600592"/>
    <w:rsid w:val="0060101A"/>
    <w:rsid w:val="00601A91"/>
    <w:rsid w:val="00601B8A"/>
    <w:rsid w:val="00601EEE"/>
    <w:rsid w:val="00602BFC"/>
    <w:rsid w:val="0060378E"/>
    <w:rsid w:val="006038E3"/>
    <w:rsid w:val="00603A0F"/>
    <w:rsid w:val="00603B66"/>
    <w:rsid w:val="00603DCA"/>
    <w:rsid w:val="00604041"/>
    <w:rsid w:val="00606FF3"/>
    <w:rsid w:val="00607BEC"/>
    <w:rsid w:val="00607DB1"/>
    <w:rsid w:val="00610132"/>
    <w:rsid w:val="006104FC"/>
    <w:rsid w:val="00610593"/>
    <w:rsid w:val="0061112C"/>
    <w:rsid w:val="0061265E"/>
    <w:rsid w:val="0061335A"/>
    <w:rsid w:val="006134FF"/>
    <w:rsid w:val="00614E4F"/>
    <w:rsid w:val="00614EE2"/>
    <w:rsid w:val="006151C4"/>
    <w:rsid w:val="0061551F"/>
    <w:rsid w:val="00621073"/>
    <w:rsid w:val="00621259"/>
    <w:rsid w:val="00622D21"/>
    <w:rsid w:val="00623E29"/>
    <w:rsid w:val="00625267"/>
    <w:rsid w:val="0062555C"/>
    <w:rsid w:val="0062616D"/>
    <w:rsid w:val="00626668"/>
    <w:rsid w:val="00626EB2"/>
    <w:rsid w:val="00626F87"/>
    <w:rsid w:val="0062784E"/>
    <w:rsid w:val="00627A33"/>
    <w:rsid w:val="006306C4"/>
    <w:rsid w:val="00630A5E"/>
    <w:rsid w:val="00630EAA"/>
    <w:rsid w:val="00630EFF"/>
    <w:rsid w:val="006317EF"/>
    <w:rsid w:val="00631E62"/>
    <w:rsid w:val="006323B8"/>
    <w:rsid w:val="00632AE7"/>
    <w:rsid w:val="00633413"/>
    <w:rsid w:val="0063473E"/>
    <w:rsid w:val="006355DD"/>
    <w:rsid w:val="00635F30"/>
    <w:rsid w:val="00636005"/>
    <w:rsid w:val="00636268"/>
    <w:rsid w:val="00636EFF"/>
    <w:rsid w:val="00637294"/>
    <w:rsid w:val="006401C4"/>
    <w:rsid w:val="00640A86"/>
    <w:rsid w:val="00640A8E"/>
    <w:rsid w:val="00640B09"/>
    <w:rsid w:val="00642BBF"/>
    <w:rsid w:val="00642F54"/>
    <w:rsid w:val="0064361F"/>
    <w:rsid w:val="00643637"/>
    <w:rsid w:val="0064373D"/>
    <w:rsid w:val="00643E16"/>
    <w:rsid w:val="00643F10"/>
    <w:rsid w:val="006442AF"/>
    <w:rsid w:val="006446B7"/>
    <w:rsid w:val="00644C52"/>
    <w:rsid w:val="00644ECB"/>
    <w:rsid w:val="0064516E"/>
    <w:rsid w:val="006455CF"/>
    <w:rsid w:val="006459A1"/>
    <w:rsid w:val="00647149"/>
    <w:rsid w:val="00647404"/>
    <w:rsid w:val="00650933"/>
    <w:rsid w:val="006512D3"/>
    <w:rsid w:val="006516DF"/>
    <w:rsid w:val="00651F82"/>
    <w:rsid w:val="0065234C"/>
    <w:rsid w:val="00652E25"/>
    <w:rsid w:val="006532D5"/>
    <w:rsid w:val="006546B9"/>
    <w:rsid w:val="006546D7"/>
    <w:rsid w:val="00654711"/>
    <w:rsid w:val="00655C00"/>
    <w:rsid w:val="00655FC4"/>
    <w:rsid w:val="006562D5"/>
    <w:rsid w:val="00656719"/>
    <w:rsid w:val="00656FF3"/>
    <w:rsid w:val="00657B38"/>
    <w:rsid w:val="00657BBC"/>
    <w:rsid w:val="0066041A"/>
    <w:rsid w:val="00660623"/>
    <w:rsid w:val="00660DDF"/>
    <w:rsid w:val="006615F4"/>
    <w:rsid w:val="00661878"/>
    <w:rsid w:val="0066195D"/>
    <w:rsid w:val="00661E2C"/>
    <w:rsid w:val="00661EDD"/>
    <w:rsid w:val="00661F1D"/>
    <w:rsid w:val="006622A4"/>
    <w:rsid w:val="0066492A"/>
    <w:rsid w:val="00664A5D"/>
    <w:rsid w:val="00665557"/>
    <w:rsid w:val="006659F9"/>
    <w:rsid w:val="00665EC5"/>
    <w:rsid w:val="0066748E"/>
    <w:rsid w:val="00670AD0"/>
    <w:rsid w:val="00670B04"/>
    <w:rsid w:val="00670D6E"/>
    <w:rsid w:val="006712A7"/>
    <w:rsid w:val="00672758"/>
    <w:rsid w:val="006729CF"/>
    <w:rsid w:val="006729DC"/>
    <w:rsid w:val="00672C35"/>
    <w:rsid w:val="006731E3"/>
    <w:rsid w:val="00673582"/>
    <w:rsid w:val="00673B2C"/>
    <w:rsid w:val="00673B32"/>
    <w:rsid w:val="0067418D"/>
    <w:rsid w:val="00674EB8"/>
    <w:rsid w:val="00675179"/>
    <w:rsid w:val="006751D2"/>
    <w:rsid w:val="006755F9"/>
    <w:rsid w:val="00676BDC"/>
    <w:rsid w:val="006776B8"/>
    <w:rsid w:val="0068068B"/>
    <w:rsid w:val="00680805"/>
    <w:rsid w:val="00680844"/>
    <w:rsid w:val="00680A5F"/>
    <w:rsid w:val="0068183A"/>
    <w:rsid w:val="00681A63"/>
    <w:rsid w:val="00681A98"/>
    <w:rsid w:val="00681FDC"/>
    <w:rsid w:val="00682047"/>
    <w:rsid w:val="0068220B"/>
    <w:rsid w:val="006822E6"/>
    <w:rsid w:val="006832AD"/>
    <w:rsid w:val="00684D83"/>
    <w:rsid w:val="00685232"/>
    <w:rsid w:val="006856DC"/>
    <w:rsid w:val="00685778"/>
    <w:rsid w:val="00685879"/>
    <w:rsid w:val="00686647"/>
    <w:rsid w:val="00686922"/>
    <w:rsid w:val="00687ACD"/>
    <w:rsid w:val="00687BD1"/>
    <w:rsid w:val="00690265"/>
    <w:rsid w:val="006907C2"/>
    <w:rsid w:val="00690912"/>
    <w:rsid w:val="00691979"/>
    <w:rsid w:val="00691AD0"/>
    <w:rsid w:val="00691E45"/>
    <w:rsid w:val="006922C1"/>
    <w:rsid w:val="006924EB"/>
    <w:rsid w:val="0069316F"/>
    <w:rsid w:val="006935CC"/>
    <w:rsid w:val="00693B83"/>
    <w:rsid w:val="006949A3"/>
    <w:rsid w:val="00694D25"/>
    <w:rsid w:val="0069547E"/>
    <w:rsid w:val="00695B09"/>
    <w:rsid w:val="0069617E"/>
    <w:rsid w:val="006A0D40"/>
    <w:rsid w:val="006A0D99"/>
    <w:rsid w:val="006A12EF"/>
    <w:rsid w:val="006A239E"/>
    <w:rsid w:val="006A2895"/>
    <w:rsid w:val="006A2A16"/>
    <w:rsid w:val="006A30D5"/>
    <w:rsid w:val="006A3E91"/>
    <w:rsid w:val="006A4922"/>
    <w:rsid w:val="006A528A"/>
    <w:rsid w:val="006A5C94"/>
    <w:rsid w:val="006A68F8"/>
    <w:rsid w:val="006A714D"/>
    <w:rsid w:val="006B021E"/>
    <w:rsid w:val="006B0642"/>
    <w:rsid w:val="006B0839"/>
    <w:rsid w:val="006B1DFF"/>
    <w:rsid w:val="006B366E"/>
    <w:rsid w:val="006B3A6D"/>
    <w:rsid w:val="006B4A48"/>
    <w:rsid w:val="006B4B03"/>
    <w:rsid w:val="006B5239"/>
    <w:rsid w:val="006B5E11"/>
    <w:rsid w:val="006B5EC8"/>
    <w:rsid w:val="006B6482"/>
    <w:rsid w:val="006B6F46"/>
    <w:rsid w:val="006B7D70"/>
    <w:rsid w:val="006C0154"/>
    <w:rsid w:val="006C021E"/>
    <w:rsid w:val="006C03AB"/>
    <w:rsid w:val="006C0699"/>
    <w:rsid w:val="006C0BD5"/>
    <w:rsid w:val="006C0BF2"/>
    <w:rsid w:val="006C0E63"/>
    <w:rsid w:val="006C0FFE"/>
    <w:rsid w:val="006C11EF"/>
    <w:rsid w:val="006C2404"/>
    <w:rsid w:val="006C2B82"/>
    <w:rsid w:val="006C2E38"/>
    <w:rsid w:val="006C31DB"/>
    <w:rsid w:val="006C3918"/>
    <w:rsid w:val="006C3DA9"/>
    <w:rsid w:val="006C5B67"/>
    <w:rsid w:val="006C5D8B"/>
    <w:rsid w:val="006C6AB7"/>
    <w:rsid w:val="006C76FE"/>
    <w:rsid w:val="006C7B4F"/>
    <w:rsid w:val="006D005A"/>
    <w:rsid w:val="006D0C60"/>
    <w:rsid w:val="006D2330"/>
    <w:rsid w:val="006D2BE1"/>
    <w:rsid w:val="006D2C1C"/>
    <w:rsid w:val="006D2E28"/>
    <w:rsid w:val="006D32A0"/>
    <w:rsid w:val="006D3E27"/>
    <w:rsid w:val="006D41D2"/>
    <w:rsid w:val="006D4D6E"/>
    <w:rsid w:val="006D51A6"/>
    <w:rsid w:val="006D52B5"/>
    <w:rsid w:val="006D59DC"/>
    <w:rsid w:val="006D611D"/>
    <w:rsid w:val="006D6C11"/>
    <w:rsid w:val="006D6F16"/>
    <w:rsid w:val="006D752E"/>
    <w:rsid w:val="006D796C"/>
    <w:rsid w:val="006D7D51"/>
    <w:rsid w:val="006D7D5F"/>
    <w:rsid w:val="006E00C0"/>
    <w:rsid w:val="006E0759"/>
    <w:rsid w:val="006E0785"/>
    <w:rsid w:val="006E08D1"/>
    <w:rsid w:val="006E1CF1"/>
    <w:rsid w:val="006E25D9"/>
    <w:rsid w:val="006E2A13"/>
    <w:rsid w:val="006E2E35"/>
    <w:rsid w:val="006E3F2B"/>
    <w:rsid w:val="006E4024"/>
    <w:rsid w:val="006E4F27"/>
    <w:rsid w:val="006E5B12"/>
    <w:rsid w:val="006E5BD0"/>
    <w:rsid w:val="006E6082"/>
    <w:rsid w:val="006E651D"/>
    <w:rsid w:val="006E73D6"/>
    <w:rsid w:val="006E7AFB"/>
    <w:rsid w:val="006E7CFB"/>
    <w:rsid w:val="006F018D"/>
    <w:rsid w:val="006F0ED0"/>
    <w:rsid w:val="006F231F"/>
    <w:rsid w:val="006F23CD"/>
    <w:rsid w:val="006F2E59"/>
    <w:rsid w:val="006F3641"/>
    <w:rsid w:val="006F3D6C"/>
    <w:rsid w:val="006F3F54"/>
    <w:rsid w:val="006F4662"/>
    <w:rsid w:val="006F4878"/>
    <w:rsid w:val="006F6E40"/>
    <w:rsid w:val="006F7395"/>
    <w:rsid w:val="006F791D"/>
    <w:rsid w:val="006F7F75"/>
    <w:rsid w:val="007000CD"/>
    <w:rsid w:val="007011B2"/>
    <w:rsid w:val="007018D6"/>
    <w:rsid w:val="00701ABE"/>
    <w:rsid w:val="0070284E"/>
    <w:rsid w:val="007031E8"/>
    <w:rsid w:val="00703B0B"/>
    <w:rsid w:val="0070426B"/>
    <w:rsid w:val="0070469B"/>
    <w:rsid w:val="007051E9"/>
    <w:rsid w:val="007058A5"/>
    <w:rsid w:val="00705EB2"/>
    <w:rsid w:val="00706380"/>
    <w:rsid w:val="00707005"/>
    <w:rsid w:val="00707944"/>
    <w:rsid w:val="00707B07"/>
    <w:rsid w:val="007107C0"/>
    <w:rsid w:val="007108DD"/>
    <w:rsid w:val="0071091F"/>
    <w:rsid w:val="00710C7A"/>
    <w:rsid w:val="00710CE8"/>
    <w:rsid w:val="00710F36"/>
    <w:rsid w:val="0071180C"/>
    <w:rsid w:val="00711EBC"/>
    <w:rsid w:val="00712C3D"/>
    <w:rsid w:val="00713655"/>
    <w:rsid w:val="00713E91"/>
    <w:rsid w:val="0071433B"/>
    <w:rsid w:val="0071496D"/>
    <w:rsid w:val="00714EC2"/>
    <w:rsid w:val="00715B38"/>
    <w:rsid w:val="007166D9"/>
    <w:rsid w:val="007167C8"/>
    <w:rsid w:val="007204FA"/>
    <w:rsid w:val="00721828"/>
    <w:rsid w:val="007218BD"/>
    <w:rsid w:val="0072222A"/>
    <w:rsid w:val="0072374D"/>
    <w:rsid w:val="0072618F"/>
    <w:rsid w:val="00726D1B"/>
    <w:rsid w:val="0073078A"/>
    <w:rsid w:val="007307A1"/>
    <w:rsid w:val="0073081A"/>
    <w:rsid w:val="00730DAB"/>
    <w:rsid w:val="00731481"/>
    <w:rsid w:val="00731CCD"/>
    <w:rsid w:val="00731E43"/>
    <w:rsid w:val="00732561"/>
    <w:rsid w:val="00732A08"/>
    <w:rsid w:val="00732B9E"/>
    <w:rsid w:val="00732F4A"/>
    <w:rsid w:val="0073361F"/>
    <w:rsid w:val="00733778"/>
    <w:rsid w:val="00733D5E"/>
    <w:rsid w:val="00733E4E"/>
    <w:rsid w:val="00736B62"/>
    <w:rsid w:val="00737044"/>
    <w:rsid w:val="00737268"/>
    <w:rsid w:val="007376D7"/>
    <w:rsid w:val="0074070D"/>
    <w:rsid w:val="00740DB2"/>
    <w:rsid w:val="00740E4C"/>
    <w:rsid w:val="00741305"/>
    <w:rsid w:val="00741373"/>
    <w:rsid w:val="007430B1"/>
    <w:rsid w:val="007442D0"/>
    <w:rsid w:val="00745EC7"/>
    <w:rsid w:val="00745EFF"/>
    <w:rsid w:val="00746BCA"/>
    <w:rsid w:val="00747933"/>
    <w:rsid w:val="00747CFE"/>
    <w:rsid w:val="00747DA3"/>
    <w:rsid w:val="00747F85"/>
    <w:rsid w:val="0075016A"/>
    <w:rsid w:val="00750236"/>
    <w:rsid w:val="00750273"/>
    <w:rsid w:val="00751F1E"/>
    <w:rsid w:val="00752D06"/>
    <w:rsid w:val="00754329"/>
    <w:rsid w:val="00754A4A"/>
    <w:rsid w:val="00760028"/>
    <w:rsid w:val="00760442"/>
    <w:rsid w:val="00760B3D"/>
    <w:rsid w:val="00761846"/>
    <w:rsid w:val="00761881"/>
    <w:rsid w:val="00761A78"/>
    <w:rsid w:val="00762726"/>
    <w:rsid w:val="00763646"/>
    <w:rsid w:val="00764771"/>
    <w:rsid w:val="00764DDE"/>
    <w:rsid w:val="0076528F"/>
    <w:rsid w:val="007652C5"/>
    <w:rsid w:val="007660D9"/>
    <w:rsid w:val="00766312"/>
    <w:rsid w:val="007663D3"/>
    <w:rsid w:val="007677BD"/>
    <w:rsid w:val="00767876"/>
    <w:rsid w:val="00767A33"/>
    <w:rsid w:val="00767C5D"/>
    <w:rsid w:val="007707D3"/>
    <w:rsid w:val="007708BC"/>
    <w:rsid w:val="00770C19"/>
    <w:rsid w:val="00772195"/>
    <w:rsid w:val="00772266"/>
    <w:rsid w:val="0077233E"/>
    <w:rsid w:val="0077310E"/>
    <w:rsid w:val="00773DE2"/>
    <w:rsid w:val="0077436F"/>
    <w:rsid w:val="00775228"/>
    <w:rsid w:val="00775902"/>
    <w:rsid w:val="00775B1A"/>
    <w:rsid w:val="00777394"/>
    <w:rsid w:val="00777ED0"/>
    <w:rsid w:val="00777F7B"/>
    <w:rsid w:val="007827B8"/>
    <w:rsid w:val="007837D4"/>
    <w:rsid w:val="0078553E"/>
    <w:rsid w:val="00786763"/>
    <w:rsid w:val="00786B79"/>
    <w:rsid w:val="007872A9"/>
    <w:rsid w:val="00790113"/>
    <w:rsid w:val="0079038D"/>
    <w:rsid w:val="007903D8"/>
    <w:rsid w:val="007907E5"/>
    <w:rsid w:val="0079102E"/>
    <w:rsid w:val="007911A7"/>
    <w:rsid w:val="00791F5A"/>
    <w:rsid w:val="00792A7C"/>
    <w:rsid w:val="00793651"/>
    <w:rsid w:val="00793CB7"/>
    <w:rsid w:val="007942EF"/>
    <w:rsid w:val="007944D4"/>
    <w:rsid w:val="00795193"/>
    <w:rsid w:val="00795A71"/>
    <w:rsid w:val="00795A87"/>
    <w:rsid w:val="0079651F"/>
    <w:rsid w:val="00796843"/>
    <w:rsid w:val="007972EB"/>
    <w:rsid w:val="00797D08"/>
    <w:rsid w:val="007A011C"/>
    <w:rsid w:val="007A15D8"/>
    <w:rsid w:val="007A164C"/>
    <w:rsid w:val="007A208E"/>
    <w:rsid w:val="007A20E4"/>
    <w:rsid w:val="007A2742"/>
    <w:rsid w:val="007A4F3F"/>
    <w:rsid w:val="007A5BF9"/>
    <w:rsid w:val="007A69FE"/>
    <w:rsid w:val="007A6B64"/>
    <w:rsid w:val="007A6DE0"/>
    <w:rsid w:val="007A6E46"/>
    <w:rsid w:val="007A70DB"/>
    <w:rsid w:val="007A7444"/>
    <w:rsid w:val="007A7C52"/>
    <w:rsid w:val="007A7E3D"/>
    <w:rsid w:val="007B11A6"/>
    <w:rsid w:val="007B1493"/>
    <w:rsid w:val="007B179F"/>
    <w:rsid w:val="007B2155"/>
    <w:rsid w:val="007B255C"/>
    <w:rsid w:val="007B2BB3"/>
    <w:rsid w:val="007B3C0F"/>
    <w:rsid w:val="007B40D3"/>
    <w:rsid w:val="007B424B"/>
    <w:rsid w:val="007B4349"/>
    <w:rsid w:val="007B434E"/>
    <w:rsid w:val="007B48C8"/>
    <w:rsid w:val="007B55F4"/>
    <w:rsid w:val="007B5C23"/>
    <w:rsid w:val="007B63B6"/>
    <w:rsid w:val="007B6D8F"/>
    <w:rsid w:val="007C04A7"/>
    <w:rsid w:val="007C070F"/>
    <w:rsid w:val="007C3200"/>
    <w:rsid w:val="007C3638"/>
    <w:rsid w:val="007C3B8F"/>
    <w:rsid w:val="007C431B"/>
    <w:rsid w:val="007C7724"/>
    <w:rsid w:val="007C7E3E"/>
    <w:rsid w:val="007D0E06"/>
    <w:rsid w:val="007D195D"/>
    <w:rsid w:val="007D2365"/>
    <w:rsid w:val="007D2AE9"/>
    <w:rsid w:val="007D2BD3"/>
    <w:rsid w:val="007D2D1F"/>
    <w:rsid w:val="007D308B"/>
    <w:rsid w:val="007D354E"/>
    <w:rsid w:val="007D3E68"/>
    <w:rsid w:val="007D44C8"/>
    <w:rsid w:val="007D46C9"/>
    <w:rsid w:val="007D53B6"/>
    <w:rsid w:val="007D56A6"/>
    <w:rsid w:val="007D611C"/>
    <w:rsid w:val="007D667D"/>
    <w:rsid w:val="007D668F"/>
    <w:rsid w:val="007D6884"/>
    <w:rsid w:val="007D6BAA"/>
    <w:rsid w:val="007D70D9"/>
    <w:rsid w:val="007D750A"/>
    <w:rsid w:val="007E13AC"/>
    <w:rsid w:val="007E1420"/>
    <w:rsid w:val="007E22F9"/>
    <w:rsid w:val="007E37F7"/>
    <w:rsid w:val="007E3975"/>
    <w:rsid w:val="007E54F5"/>
    <w:rsid w:val="007E5994"/>
    <w:rsid w:val="007E6387"/>
    <w:rsid w:val="007E655D"/>
    <w:rsid w:val="007E72D4"/>
    <w:rsid w:val="007E751C"/>
    <w:rsid w:val="007F170A"/>
    <w:rsid w:val="007F1B46"/>
    <w:rsid w:val="007F1F19"/>
    <w:rsid w:val="007F22F3"/>
    <w:rsid w:val="007F2465"/>
    <w:rsid w:val="007F2492"/>
    <w:rsid w:val="007F26A1"/>
    <w:rsid w:val="007F2956"/>
    <w:rsid w:val="007F2983"/>
    <w:rsid w:val="007F2B99"/>
    <w:rsid w:val="007F2EE8"/>
    <w:rsid w:val="007F39B3"/>
    <w:rsid w:val="007F409D"/>
    <w:rsid w:val="007F4B00"/>
    <w:rsid w:val="007F5B13"/>
    <w:rsid w:val="007F5FF0"/>
    <w:rsid w:val="007F626D"/>
    <w:rsid w:val="007F6EA7"/>
    <w:rsid w:val="00800316"/>
    <w:rsid w:val="00800544"/>
    <w:rsid w:val="00800951"/>
    <w:rsid w:val="00800C36"/>
    <w:rsid w:val="008011BF"/>
    <w:rsid w:val="0080152B"/>
    <w:rsid w:val="00801A7D"/>
    <w:rsid w:val="008024EB"/>
    <w:rsid w:val="00802B52"/>
    <w:rsid w:val="00802CBD"/>
    <w:rsid w:val="00802E4E"/>
    <w:rsid w:val="008044DB"/>
    <w:rsid w:val="00805AB3"/>
    <w:rsid w:val="00805D85"/>
    <w:rsid w:val="0080633F"/>
    <w:rsid w:val="008111E1"/>
    <w:rsid w:val="00811803"/>
    <w:rsid w:val="008120FA"/>
    <w:rsid w:val="008123CF"/>
    <w:rsid w:val="008128F7"/>
    <w:rsid w:val="00812CC7"/>
    <w:rsid w:val="00812DDE"/>
    <w:rsid w:val="0081375D"/>
    <w:rsid w:val="008137FB"/>
    <w:rsid w:val="0081478D"/>
    <w:rsid w:val="00814F1F"/>
    <w:rsid w:val="00815524"/>
    <w:rsid w:val="0081587B"/>
    <w:rsid w:val="0081639F"/>
    <w:rsid w:val="00816935"/>
    <w:rsid w:val="00816E4F"/>
    <w:rsid w:val="00816F8C"/>
    <w:rsid w:val="00817BB0"/>
    <w:rsid w:val="00817C26"/>
    <w:rsid w:val="00817CD1"/>
    <w:rsid w:val="0082024F"/>
    <w:rsid w:val="008206E6"/>
    <w:rsid w:val="00820C92"/>
    <w:rsid w:val="00821159"/>
    <w:rsid w:val="008225D2"/>
    <w:rsid w:val="0082312D"/>
    <w:rsid w:val="0082322C"/>
    <w:rsid w:val="00823AA1"/>
    <w:rsid w:val="00824789"/>
    <w:rsid w:val="00825A80"/>
    <w:rsid w:val="00825E9D"/>
    <w:rsid w:val="008260CF"/>
    <w:rsid w:val="0082788A"/>
    <w:rsid w:val="008308E3"/>
    <w:rsid w:val="00830B69"/>
    <w:rsid w:val="00831104"/>
    <w:rsid w:val="0083137C"/>
    <w:rsid w:val="00831D4E"/>
    <w:rsid w:val="008321B1"/>
    <w:rsid w:val="008329B4"/>
    <w:rsid w:val="00832DC0"/>
    <w:rsid w:val="00833C56"/>
    <w:rsid w:val="00835B1F"/>
    <w:rsid w:val="00835C78"/>
    <w:rsid w:val="0083607A"/>
    <w:rsid w:val="00836215"/>
    <w:rsid w:val="008365C3"/>
    <w:rsid w:val="00836729"/>
    <w:rsid w:val="00836CAC"/>
    <w:rsid w:val="0083704E"/>
    <w:rsid w:val="0083724A"/>
    <w:rsid w:val="008373AB"/>
    <w:rsid w:val="008405C1"/>
    <w:rsid w:val="00840831"/>
    <w:rsid w:val="008411D3"/>
    <w:rsid w:val="008419F9"/>
    <w:rsid w:val="00841D38"/>
    <w:rsid w:val="0084205D"/>
    <w:rsid w:val="008425E3"/>
    <w:rsid w:val="00842E2A"/>
    <w:rsid w:val="0084425F"/>
    <w:rsid w:val="00844778"/>
    <w:rsid w:val="0084491C"/>
    <w:rsid w:val="00844970"/>
    <w:rsid w:val="008451C5"/>
    <w:rsid w:val="00846155"/>
    <w:rsid w:val="0084647F"/>
    <w:rsid w:val="00846A3E"/>
    <w:rsid w:val="00847791"/>
    <w:rsid w:val="008505AC"/>
    <w:rsid w:val="008507FC"/>
    <w:rsid w:val="00850F9F"/>
    <w:rsid w:val="00851ACE"/>
    <w:rsid w:val="00852281"/>
    <w:rsid w:val="00852FC8"/>
    <w:rsid w:val="00853A2C"/>
    <w:rsid w:val="00854396"/>
    <w:rsid w:val="00854765"/>
    <w:rsid w:val="00854D5B"/>
    <w:rsid w:val="008559E9"/>
    <w:rsid w:val="00855A4F"/>
    <w:rsid w:val="0085621C"/>
    <w:rsid w:val="00856E82"/>
    <w:rsid w:val="00857C59"/>
    <w:rsid w:val="00861AB5"/>
    <w:rsid w:val="00861DB5"/>
    <w:rsid w:val="008623E3"/>
    <w:rsid w:val="00862F46"/>
    <w:rsid w:val="008631B0"/>
    <w:rsid w:val="00863F9F"/>
    <w:rsid w:val="0086500C"/>
    <w:rsid w:val="008656A6"/>
    <w:rsid w:val="00865926"/>
    <w:rsid w:val="0086631E"/>
    <w:rsid w:val="008676F5"/>
    <w:rsid w:val="00867788"/>
    <w:rsid w:val="00870E2A"/>
    <w:rsid w:val="00871823"/>
    <w:rsid w:val="00872047"/>
    <w:rsid w:val="0087227C"/>
    <w:rsid w:val="008729E7"/>
    <w:rsid w:val="008730EB"/>
    <w:rsid w:val="00873E24"/>
    <w:rsid w:val="0087426A"/>
    <w:rsid w:val="00874454"/>
    <w:rsid w:val="00874B4C"/>
    <w:rsid w:val="008751EB"/>
    <w:rsid w:val="00875200"/>
    <w:rsid w:val="00875A41"/>
    <w:rsid w:val="00877D4C"/>
    <w:rsid w:val="00877FE6"/>
    <w:rsid w:val="00881473"/>
    <w:rsid w:val="008822A2"/>
    <w:rsid w:val="008825DA"/>
    <w:rsid w:val="00882A9E"/>
    <w:rsid w:val="00882C8F"/>
    <w:rsid w:val="00882CE6"/>
    <w:rsid w:val="0088310C"/>
    <w:rsid w:val="00884760"/>
    <w:rsid w:val="008850E3"/>
    <w:rsid w:val="00885C46"/>
    <w:rsid w:val="00886CDF"/>
    <w:rsid w:val="00887D22"/>
    <w:rsid w:val="00890596"/>
    <w:rsid w:val="00890787"/>
    <w:rsid w:val="0089133F"/>
    <w:rsid w:val="00891718"/>
    <w:rsid w:val="00891C24"/>
    <w:rsid w:val="00891F5F"/>
    <w:rsid w:val="00892261"/>
    <w:rsid w:val="00893EFB"/>
    <w:rsid w:val="008942D7"/>
    <w:rsid w:val="00894B03"/>
    <w:rsid w:val="00894E69"/>
    <w:rsid w:val="00895FE0"/>
    <w:rsid w:val="008963BB"/>
    <w:rsid w:val="00896FAC"/>
    <w:rsid w:val="00897188"/>
    <w:rsid w:val="00897542"/>
    <w:rsid w:val="00897C80"/>
    <w:rsid w:val="008A0397"/>
    <w:rsid w:val="008A175A"/>
    <w:rsid w:val="008A1E12"/>
    <w:rsid w:val="008A26ED"/>
    <w:rsid w:val="008A355D"/>
    <w:rsid w:val="008A41E2"/>
    <w:rsid w:val="008A43C3"/>
    <w:rsid w:val="008A4855"/>
    <w:rsid w:val="008A49C1"/>
    <w:rsid w:val="008A4F81"/>
    <w:rsid w:val="008A548B"/>
    <w:rsid w:val="008A5813"/>
    <w:rsid w:val="008A6868"/>
    <w:rsid w:val="008A6B03"/>
    <w:rsid w:val="008A6B4A"/>
    <w:rsid w:val="008A7AC5"/>
    <w:rsid w:val="008B06CC"/>
    <w:rsid w:val="008B09A1"/>
    <w:rsid w:val="008B2CB0"/>
    <w:rsid w:val="008B35E9"/>
    <w:rsid w:val="008B3C9B"/>
    <w:rsid w:val="008B43F7"/>
    <w:rsid w:val="008B4E22"/>
    <w:rsid w:val="008B4EAA"/>
    <w:rsid w:val="008B5474"/>
    <w:rsid w:val="008B61BE"/>
    <w:rsid w:val="008B650C"/>
    <w:rsid w:val="008B6579"/>
    <w:rsid w:val="008B6A18"/>
    <w:rsid w:val="008B701B"/>
    <w:rsid w:val="008B7DC2"/>
    <w:rsid w:val="008C0403"/>
    <w:rsid w:val="008C06B0"/>
    <w:rsid w:val="008C07CF"/>
    <w:rsid w:val="008C1BB1"/>
    <w:rsid w:val="008C220F"/>
    <w:rsid w:val="008C3F15"/>
    <w:rsid w:val="008C48B7"/>
    <w:rsid w:val="008C51EB"/>
    <w:rsid w:val="008C530E"/>
    <w:rsid w:val="008C6455"/>
    <w:rsid w:val="008C64D6"/>
    <w:rsid w:val="008D0A92"/>
    <w:rsid w:val="008D1DF9"/>
    <w:rsid w:val="008D1E6D"/>
    <w:rsid w:val="008D1EEB"/>
    <w:rsid w:val="008D23A7"/>
    <w:rsid w:val="008D2714"/>
    <w:rsid w:val="008D2AF2"/>
    <w:rsid w:val="008D37FB"/>
    <w:rsid w:val="008D3987"/>
    <w:rsid w:val="008D4006"/>
    <w:rsid w:val="008D40D6"/>
    <w:rsid w:val="008D4223"/>
    <w:rsid w:val="008D44FD"/>
    <w:rsid w:val="008D45C9"/>
    <w:rsid w:val="008D609B"/>
    <w:rsid w:val="008D6B03"/>
    <w:rsid w:val="008D7A8F"/>
    <w:rsid w:val="008D7AD1"/>
    <w:rsid w:val="008E1712"/>
    <w:rsid w:val="008E19B1"/>
    <w:rsid w:val="008E1E98"/>
    <w:rsid w:val="008E30F0"/>
    <w:rsid w:val="008E5524"/>
    <w:rsid w:val="008E5DA4"/>
    <w:rsid w:val="008E5DE7"/>
    <w:rsid w:val="008E6085"/>
    <w:rsid w:val="008E6200"/>
    <w:rsid w:val="008E6790"/>
    <w:rsid w:val="008E6809"/>
    <w:rsid w:val="008E6D63"/>
    <w:rsid w:val="008E6DCC"/>
    <w:rsid w:val="008E712F"/>
    <w:rsid w:val="008E7394"/>
    <w:rsid w:val="008E7813"/>
    <w:rsid w:val="008E7C7D"/>
    <w:rsid w:val="008F0590"/>
    <w:rsid w:val="008F0E12"/>
    <w:rsid w:val="008F1DBA"/>
    <w:rsid w:val="008F291E"/>
    <w:rsid w:val="008F318F"/>
    <w:rsid w:val="008F34B5"/>
    <w:rsid w:val="008F38EC"/>
    <w:rsid w:val="008F4022"/>
    <w:rsid w:val="008F41AE"/>
    <w:rsid w:val="008F41D8"/>
    <w:rsid w:val="008F4726"/>
    <w:rsid w:val="008F4A96"/>
    <w:rsid w:val="008F5375"/>
    <w:rsid w:val="008F57F0"/>
    <w:rsid w:val="008F580F"/>
    <w:rsid w:val="008F58C0"/>
    <w:rsid w:val="008F6EDD"/>
    <w:rsid w:val="008F700B"/>
    <w:rsid w:val="0090038A"/>
    <w:rsid w:val="009018EB"/>
    <w:rsid w:val="00901CB2"/>
    <w:rsid w:val="0090249E"/>
    <w:rsid w:val="009026FB"/>
    <w:rsid w:val="00902CA5"/>
    <w:rsid w:val="009032FD"/>
    <w:rsid w:val="00904046"/>
    <w:rsid w:val="00904202"/>
    <w:rsid w:val="00904BEC"/>
    <w:rsid w:val="00904F11"/>
    <w:rsid w:val="00905407"/>
    <w:rsid w:val="009063F8"/>
    <w:rsid w:val="009065E5"/>
    <w:rsid w:val="0090754E"/>
    <w:rsid w:val="009078BF"/>
    <w:rsid w:val="00907B2C"/>
    <w:rsid w:val="00907EA3"/>
    <w:rsid w:val="009107AD"/>
    <w:rsid w:val="00910C8D"/>
    <w:rsid w:val="0091219F"/>
    <w:rsid w:val="00912B3E"/>
    <w:rsid w:val="00914108"/>
    <w:rsid w:val="00916413"/>
    <w:rsid w:val="00917032"/>
    <w:rsid w:val="00917961"/>
    <w:rsid w:val="00920880"/>
    <w:rsid w:val="00921205"/>
    <w:rsid w:val="00921A46"/>
    <w:rsid w:val="00921CCC"/>
    <w:rsid w:val="00921D37"/>
    <w:rsid w:val="00922278"/>
    <w:rsid w:val="009230B1"/>
    <w:rsid w:val="00923BD6"/>
    <w:rsid w:val="0092511E"/>
    <w:rsid w:val="00925E78"/>
    <w:rsid w:val="00926AE7"/>
    <w:rsid w:val="009271EC"/>
    <w:rsid w:val="009279F5"/>
    <w:rsid w:val="00931377"/>
    <w:rsid w:val="009316AE"/>
    <w:rsid w:val="00931948"/>
    <w:rsid w:val="00931AC4"/>
    <w:rsid w:val="00931C96"/>
    <w:rsid w:val="00932ECC"/>
    <w:rsid w:val="0093334B"/>
    <w:rsid w:val="00933D63"/>
    <w:rsid w:val="009343B4"/>
    <w:rsid w:val="009356A4"/>
    <w:rsid w:val="00936B84"/>
    <w:rsid w:val="00936ED5"/>
    <w:rsid w:val="009371F1"/>
    <w:rsid w:val="0093775C"/>
    <w:rsid w:val="00937F60"/>
    <w:rsid w:val="009403F2"/>
    <w:rsid w:val="009419F0"/>
    <w:rsid w:val="009435F4"/>
    <w:rsid w:val="009439D5"/>
    <w:rsid w:val="0094462D"/>
    <w:rsid w:val="0094483A"/>
    <w:rsid w:val="0094544C"/>
    <w:rsid w:val="0094768C"/>
    <w:rsid w:val="00947736"/>
    <w:rsid w:val="00951A47"/>
    <w:rsid w:val="00952724"/>
    <w:rsid w:val="00952A25"/>
    <w:rsid w:val="00952F2F"/>
    <w:rsid w:val="00953AE3"/>
    <w:rsid w:val="009545AC"/>
    <w:rsid w:val="00954B49"/>
    <w:rsid w:val="00960CB8"/>
    <w:rsid w:val="00961F98"/>
    <w:rsid w:val="0096255A"/>
    <w:rsid w:val="00962916"/>
    <w:rsid w:val="00963A53"/>
    <w:rsid w:val="00963AF5"/>
    <w:rsid w:val="00963BE0"/>
    <w:rsid w:val="00964C82"/>
    <w:rsid w:val="00965C96"/>
    <w:rsid w:val="00966594"/>
    <w:rsid w:val="00967117"/>
    <w:rsid w:val="009679EA"/>
    <w:rsid w:val="009706FE"/>
    <w:rsid w:val="00970B05"/>
    <w:rsid w:val="00970FCD"/>
    <w:rsid w:val="009712AC"/>
    <w:rsid w:val="009712CE"/>
    <w:rsid w:val="00971CEE"/>
    <w:rsid w:val="009727E4"/>
    <w:rsid w:val="00972C35"/>
    <w:rsid w:val="00973795"/>
    <w:rsid w:val="00973BBC"/>
    <w:rsid w:val="0097458E"/>
    <w:rsid w:val="0097462D"/>
    <w:rsid w:val="009752FD"/>
    <w:rsid w:val="00975B0E"/>
    <w:rsid w:val="00975E5C"/>
    <w:rsid w:val="00975F72"/>
    <w:rsid w:val="00976D2E"/>
    <w:rsid w:val="00977642"/>
    <w:rsid w:val="0097765E"/>
    <w:rsid w:val="00977B72"/>
    <w:rsid w:val="00980219"/>
    <w:rsid w:val="00980EBD"/>
    <w:rsid w:val="00981788"/>
    <w:rsid w:val="00982720"/>
    <w:rsid w:val="00982AD3"/>
    <w:rsid w:val="00982C80"/>
    <w:rsid w:val="00983127"/>
    <w:rsid w:val="00983DDB"/>
    <w:rsid w:val="00984F1A"/>
    <w:rsid w:val="009855B8"/>
    <w:rsid w:val="009862F1"/>
    <w:rsid w:val="00986423"/>
    <w:rsid w:val="00986973"/>
    <w:rsid w:val="00986C2D"/>
    <w:rsid w:val="00987F95"/>
    <w:rsid w:val="00987FCD"/>
    <w:rsid w:val="00990ECF"/>
    <w:rsid w:val="00990F9E"/>
    <w:rsid w:val="009913C2"/>
    <w:rsid w:val="00991714"/>
    <w:rsid w:val="00991A58"/>
    <w:rsid w:val="00991EA4"/>
    <w:rsid w:val="00992A26"/>
    <w:rsid w:val="00992A9D"/>
    <w:rsid w:val="0099312C"/>
    <w:rsid w:val="00993980"/>
    <w:rsid w:val="00993F74"/>
    <w:rsid w:val="00994D68"/>
    <w:rsid w:val="0099529B"/>
    <w:rsid w:val="00996232"/>
    <w:rsid w:val="00997255"/>
    <w:rsid w:val="009A0D02"/>
    <w:rsid w:val="009A23A2"/>
    <w:rsid w:val="009A2B70"/>
    <w:rsid w:val="009A3737"/>
    <w:rsid w:val="009A48BF"/>
    <w:rsid w:val="009A68B9"/>
    <w:rsid w:val="009A6FF4"/>
    <w:rsid w:val="009A7328"/>
    <w:rsid w:val="009A7CA1"/>
    <w:rsid w:val="009B0609"/>
    <w:rsid w:val="009B076B"/>
    <w:rsid w:val="009B2D54"/>
    <w:rsid w:val="009B3C92"/>
    <w:rsid w:val="009B48BB"/>
    <w:rsid w:val="009B51AA"/>
    <w:rsid w:val="009B56A2"/>
    <w:rsid w:val="009B5C3A"/>
    <w:rsid w:val="009B5D5C"/>
    <w:rsid w:val="009B64ED"/>
    <w:rsid w:val="009B7560"/>
    <w:rsid w:val="009C00A0"/>
    <w:rsid w:val="009C06B1"/>
    <w:rsid w:val="009C0B07"/>
    <w:rsid w:val="009C122A"/>
    <w:rsid w:val="009C19CC"/>
    <w:rsid w:val="009C2419"/>
    <w:rsid w:val="009C24F4"/>
    <w:rsid w:val="009C28B6"/>
    <w:rsid w:val="009C29DE"/>
    <w:rsid w:val="009C46F5"/>
    <w:rsid w:val="009C52CF"/>
    <w:rsid w:val="009C696F"/>
    <w:rsid w:val="009C728D"/>
    <w:rsid w:val="009C7DD7"/>
    <w:rsid w:val="009D0492"/>
    <w:rsid w:val="009D0731"/>
    <w:rsid w:val="009D077B"/>
    <w:rsid w:val="009D0896"/>
    <w:rsid w:val="009D0CE6"/>
    <w:rsid w:val="009D0DF6"/>
    <w:rsid w:val="009D1412"/>
    <w:rsid w:val="009D2C7B"/>
    <w:rsid w:val="009D2DE4"/>
    <w:rsid w:val="009D3BC0"/>
    <w:rsid w:val="009D4104"/>
    <w:rsid w:val="009D5DC6"/>
    <w:rsid w:val="009D6021"/>
    <w:rsid w:val="009D6676"/>
    <w:rsid w:val="009D6EE3"/>
    <w:rsid w:val="009D7009"/>
    <w:rsid w:val="009D7AE5"/>
    <w:rsid w:val="009E0950"/>
    <w:rsid w:val="009E0AAF"/>
    <w:rsid w:val="009E0D5A"/>
    <w:rsid w:val="009E156F"/>
    <w:rsid w:val="009E15CD"/>
    <w:rsid w:val="009E15ED"/>
    <w:rsid w:val="009E1C26"/>
    <w:rsid w:val="009E1F6B"/>
    <w:rsid w:val="009E4867"/>
    <w:rsid w:val="009E4D10"/>
    <w:rsid w:val="009E4FCA"/>
    <w:rsid w:val="009E5E5F"/>
    <w:rsid w:val="009E5F30"/>
    <w:rsid w:val="009E6108"/>
    <w:rsid w:val="009E61C4"/>
    <w:rsid w:val="009E67CF"/>
    <w:rsid w:val="009E7742"/>
    <w:rsid w:val="009E7ABB"/>
    <w:rsid w:val="009F0337"/>
    <w:rsid w:val="009F0C2B"/>
    <w:rsid w:val="009F13FB"/>
    <w:rsid w:val="009F1763"/>
    <w:rsid w:val="009F3CB8"/>
    <w:rsid w:val="009F3D06"/>
    <w:rsid w:val="009F4676"/>
    <w:rsid w:val="009F4ADB"/>
    <w:rsid w:val="009F4E74"/>
    <w:rsid w:val="009F5326"/>
    <w:rsid w:val="009F692E"/>
    <w:rsid w:val="009F738B"/>
    <w:rsid w:val="00A002F3"/>
    <w:rsid w:val="00A00E52"/>
    <w:rsid w:val="00A017FC"/>
    <w:rsid w:val="00A032BA"/>
    <w:rsid w:val="00A03D4E"/>
    <w:rsid w:val="00A0456B"/>
    <w:rsid w:val="00A0464C"/>
    <w:rsid w:val="00A05376"/>
    <w:rsid w:val="00A06BFF"/>
    <w:rsid w:val="00A070E9"/>
    <w:rsid w:val="00A07EB1"/>
    <w:rsid w:val="00A07F4B"/>
    <w:rsid w:val="00A10509"/>
    <w:rsid w:val="00A107B1"/>
    <w:rsid w:val="00A10C52"/>
    <w:rsid w:val="00A10D25"/>
    <w:rsid w:val="00A1185A"/>
    <w:rsid w:val="00A125FC"/>
    <w:rsid w:val="00A13B3E"/>
    <w:rsid w:val="00A13CAD"/>
    <w:rsid w:val="00A148F0"/>
    <w:rsid w:val="00A1512E"/>
    <w:rsid w:val="00A1561F"/>
    <w:rsid w:val="00A157C0"/>
    <w:rsid w:val="00A16603"/>
    <w:rsid w:val="00A16B1B"/>
    <w:rsid w:val="00A172FB"/>
    <w:rsid w:val="00A17300"/>
    <w:rsid w:val="00A2020C"/>
    <w:rsid w:val="00A2368F"/>
    <w:rsid w:val="00A2392C"/>
    <w:rsid w:val="00A25647"/>
    <w:rsid w:val="00A26228"/>
    <w:rsid w:val="00A277D4"/>
    <w:rsid w:val="00A27A21"/>
    <w:rsid w:val="00A30385"/>
    <w:rsid w:val="00A30CE7"/>
    <w:rsid w:val="00A31020"/>
    <w:rsid w:val="00A31396"/>
    <w:rsid w:val="00A31B29"/>
    <w:rsid w:val="00A31FC0"/>
    <w:rsid w:val="00A32999"/>
    <w:rsid w:val="00A32B62"/>
    <w:rsid w:val="00A339D3"/>
    <w:rsid w:val="00A34D20"/>
    <w:rsid w:val="00A34DA5"/>
    <w:rsid w:val="00A34E6A"/>
    <w:rsid w:val="00A3602D"/>
    <w:rsid w:val="00A36809"/>
    <w:rsid w:val="00A36A7B"/>
    <w:rsid w:val="00A37565"/>
    <w:rsid w:val="00A378B4"/>
    <w:rsid w:val="00A37C90"/>
    <w:rsid w:val="00A40329"/>
    <w:rsid w:val="00A4064E"/>
    <w:rsid w:val="00A406AE"/>
    <w:rsid w:val="00A41042"/>
    <w:rsid w:val="00A415BB"/>
    <w:rsid w:val="00A41AE3"/>
    <w:rsid w:val="00A41C29"/>
    <w:rsid w:val="00A42D8F"/>
    <w:rsid w:val="00A4366B"/>
    <w:rsid w:val="00A43A1C"/>
    <w:rsid w:val="00A442FA"/>
    <w:rsid w:val="00A447ED"/>
    <w:rsid w:val="00A44CFB"/>
    <w:rsid w:val="00A4662B"/>
    <w:rsid w:val="00A466E5"/>
    <w:rsid w:val="00A47122"/>
    <w:rsid w:val="00A47A30"/>
    <w:rsid w:val="00A47F0B"/>
    <w:rsid w:val="00A502F9"/>
    <w:rsid w:val="00A5091F"/>
    <w:rsid w:val="00A51013"/>
    <w:rsid w:val="00A51393"/>
    <w:rsid w:val="00A52325"/>
    <w:rsid w:val="00A52406"/>
    <w:rsid w:val="00A52C9D"/>
    <w:rsid w:val="00A5311A"/>
    <w:rsid w:val="00A53307"/>
    <w:rsid w:val="00A54B04"/>
    <w:rsid w:val="00A5501F"/>
    <w:rsid w:val="00A553F1"/>
    <w:rsid w:val="00A60B21"/>
    <w:rsid w:val="00A61989"/>
    <w:rsid w:val="00A61B5B"/>
    <w:rsid w:val="00A61E2D"/>
    <w:rsid w:val="00A61EC2"/>
    <w:rsid w:val="00A628CA"/>
    <w:rsid w:val="00A628F2"/>
    <w:rsid w:val="00A62B8F"/>
    <w:rsid w:val="00A62BC3"/>
    <w:rsid w:val="00A63C84"/>
    <w:rsid w:val="00A644BF"/>
    <w:rsid w:val="00A65C58"/>
    <w:rsid w:val="00A66091"/>
    <w:rsid w:val="00A6699C"/>
    <w:rsid w:val="00A66D6E"/>
    <w:rsid w:val="00A66E90"/>
    <w:rsid w:val="00A67807"/>
    <w:rsid w:val="00A67992"/>
    <w:rsid w:val="00A67B34"/>
    <w:rsid w:val="00A70068"/>
    <w:rsid w:val="00A701F8"/>
    <w:rsid w:val="00A702EF"/>
    <w:rsid w:val="00A7096F"/>
    <w:rsid w:val="00A70EAD"/>
    <w:rsid w:val="00A71183"/>
    <w:rsid w:val="00A71799"/>
    <w:rsid w:val="00A72BB8"/>
    <w:rsid w:val="00A73271"/>
    <w:rsid w:val="00A7535C"/>
    <w:rsid w:val="00A75591"/>
    <w:rsid w:val="00A77048"/>
    <w:rsid w:val="00A77A9E"/>
    <w:rsid w:val="00A80CB6"/>
    <w:rsid w:val="00A81AA5"/>
    <w:rsid w:val="00A81C00"/>
    <w:rsid w:val="00A81C5F"/>
    <w:rsid w:val="00A81CCD"/>
    <w:rsid w:val="00A82B5C"/>
    <w:rsid w:val="00A83817"/>
    <w:rsid w:val="00A83924"/>
    <w:rsid w:val="00A84361"/>
    <w:rsid w:val="00A857F9"/>
    <w:rsid w:val="00A8637B"/>
    <w:rsid w:val="00A86933"/>
    <w:rsid w:val="00A87537"/>
    <w:rsid w:val="00A875EB"/>
    <w:rsid w:val="00A90624"/>
    <w:rsid w:val="00A90CEA"/>
    <w:rsid w:val="00A90F73"/>
    <w:rsid w:val="00A912F2"/>
    <w:rsid w:val="00A9183E"/>
    <w:rsid w:val="00A921B5"/>
    <w:rsid w:val="00A926C9"/>
    <w:rsid w:val="00A9352F"/>
    <w:rsid w:val="00A9417E"/>
    <w:rsid w:val="00A94B52"/>
    <w:rsid w:val="00A94E70"/>
    <w:rsid w:val="00A95042"/>
    <w:rsid w:val="00A95A1B"/>
    <w:rsid w:val="00A95B90"/>
    <w:rsid w:val="00AA0AE8"/>
    <w:rsid w:val="00AA14BB"/>
    <w:rsid w:val="00AA1DBB"/>
    <w:rsid w:val="00AA1E09"/>
    <w:rsid w:val="00AA216E"/>
    <w:rsid w:val="00AA2A81"/>
    <w:rsid w:val="00AA301F"/>
    <w:rsid w:val="00AA3A52"/>
    <w:rsid w:val="00AA4450"/>
    <w:rsid w:val="00AA4B1E"/>
    <w:rsid w:val="00AA5BE6"/>
    <w:rsid w:val="00AA6061"/>
    <w:rsid w:val="00AA6212"/>
    <w:rsid w:val="00AA6822"/>
    <w:rsid w:val="00AB0778"/>
    <w:rsid w:val="00AB1415"/>
    <w:rsid w:val="00AB1E3E"/>
    <w:rsid w:val="00AB22EE"/>
    <w:rsid w:val="00AB2B3C"/>
    <w:rsid w:val="00AB32CF"/>
    <w:rsid w:val="00AB3E04"/>
    <w:rsid w:val="00AB4367"/>
    <w:rsid w:val="00AB4476"/>
    <w:rsid w:val="00AB4875"/>
    <w:rsid w:val="00AB5570"/>
    <w:rsid w:val="00AB57B6"/>
    <w:rsid w:val="00AB5BAB"/>
    <w:rsid w:val="00AB5FFA"/>
    <w:rsid w:val="00AB6E53"/>
    <w:rsid w:val="00AB7944"/>
    <w:rsid w:val="00AC0448"/>
    <w:rsid w:val="00AC0A73"/>
    <w:rsid w:val="00AC1295"/>
    <w:rsid w:val="00AC1398"/>
    <w:rsid w:val="00AC172C"/>
    <w:rsid w:val="00AC19F8"/>
    <w:rsid w:val="00AC1CC7"/>
    <w:rsid w:val="00AC2065"/>
    <w:rsid w:val="00AC22AD"/>
    <w:rsid w:val="00AC2421"/>
    <w:rsid w:val="00AC2728"/>
    <w:rsid w:val="00AC3722"/>
    <w:rsid w:val="00AC3E1B"/>
    <w:rsid w:val="00AC4C92"/>
    <w:rsid w:val="00AC782D"/>
    <w:rsid w:val="00AD0B65"/>
    <w:rsid w:val="00AD0CC3"/>
    <w:rsid w:val="00AD0E34"/>
    <w:rsid w:val="00AD124A"/>
    <w:rsid w:val="00AD1E0C"/>
    <w:rsid w:val="00AD24E9"/>
    <w:rsid w:val="00AD2631"/>
    <w:rsid w:val="00AD2E43"/>
    <w:rsid w:val="00AD3FDD"/>
    <w:rsid w:val="00AD45B9"/>
    <w:rsid w:val="00AD46D2"/>
    <w:rsid w:val="00AD536F"/>
    <w:rsid w:val="00AD557F"/>
    <w:rsid w:val="00AD5698"/>
    <w:rsid w:val="00AD5F8D"/>
    <w:rsid w:val="00AD65DE"/>
    <w:rsid w:val="00AD6AC6"/>
    <w:rsid w:val="00AD7242"/>
    <w:rsid w:val="00AD740B"/>
    <w:rsid w:val="00AD7AFC"/>
    <w:rsid w:val="00AD7B92"/>
    <w:rsid w:val="00AD7BE8"/>
    <w:rsid w:val="00AE0DBE"/>
    <w:rsid w:val="00AE0DD4"/>
    <w:rsid w:val="00AE10E3"/>
    <w:rsid w:val="00AE246A"/>
    <w:rsid w:val="00AE24F5"/>
    <w:rsid w:val="00AE27D4"/>
    <w:rsid w:val="00AE328A"/>
    <w:rsid w:val="00AE3352"/>
    <w:rsid w:val="00AE41BC"/>
    <w:rsid w:val="00AE523E"/>
    <w:rsid w:val="00AE59E2"/>
    <w:rsid w:val="00AE59F0"/>
    <w:rsid w:val="00AE609C"/>
    <w:rsid w:val="00AE61CA"/>
    <w:rsid w:val="00AE6463"/>
    <w:rsid w:val="00AE6F5F"/>
    <w:rsid w:val="00AE73B9"/>
    <w:rsid w:val="00AE79A8"/>
    <w:rsid w:val="00AF0C51"/>
    <w:rsid w:val="00AF174C"/>
    <w:rsid w:val="00AF1E3F"/>
    <w:rsid w:val="00AF3ED0"/>
    <w:rsid w:val="00AF420A"/>
    <w:rsid w:val="00AF42DE"/>
    <w:rsid w:val="00AF472F"/>
    <w:rsid w:val="00AF5221"/>
    <w:rsid w:val="00AF5852"/>
    <w:rsid w:val="00AF6457"/>
    <w:rsid w:val="00AF683B"/>
    <w:rsid w:val="00AF6918"/>
    <w:rsid w:val="00AF76B4"/>
    <w:rsid w:val="00AF7C94"/>
    <w:rsid w:val="00B007D7"/>
    <w:rsid w:val="00B01FFB"/>
    <w:rsid w:val="00B023B3"/>
    <w:rsid w:val="00B024D9"/>
    <w:rsid w:val="00B027C4"/>
    <w:rsid w:val="00B02C54"/>
    <w:rsid w:val="00B03061"/>
    <w:rsid w:val="00B033E4"/>
    <w:rsid w:val="00B034F4"/>
    <w:rsid w:val="00B037FE"/>
    <w:rsid w:val="00B03C83"/>
    <w:rsid w:val="00B044ED"/>
    <w:rsid w:val="00B04D77"/>
    <w:rsid w:val="00B04E78"/>
    <w:rsid w:val="00B05441"/>
    <w:rsid w:val="00B05B5B"/>
    <w:rsid w:val="00B06DA6"/>
    <w:rsid w:val="00B070D5"/>
    <w:rsid w:val="00B0744B"/>
    <w:rsid w:val="00B077D5"/>
    <w:rsid w:val="00B078E5"/>
    <w:rsid w:val="00B07905"/>
    <w:rsid w:val="00B07C97"/>
    <w:rsid w:val="00B10892"/>
    <w:rsid w:val="00B12116"/>
    <w:rsid w:val="00B12E71"/>
    <w:rsid w:val="00B13F89"/>
    <w:rsid w:val="00B14FBB"/>
    <w:rsid w:val="00B156B6"/>
    <w:rsid w:val="00B1592D"/>
    <w:rsid w:val="00B15C37"/>
    <w:rsid w:val="00B15F75"/>
    <w:rsid w:val="00B16724"/>
    <w:rsid w:val="00B16A98"/>
    <w:rsid w:val="00B17BFF"/>
    <w:rsid w:val="00B17C44"/>
    <w:rsid w:val="00B20FBD"/>
    <w:rsid w:val="00B21432"/>
    <w:rsid w:val="00B2143E"/>
    <w:rsid w:val="00B218BE"/>
    <w:rsid w:val="00B21CE3"/>
    <w:rsid w:val="00B22000"/>
    <w:rsid w:val="00B23983"/>
    <w:rsid w:val="00B2399F"/>
    <w:rsid w:val="00B24656"/>
    <w:rsid w:val="00B246F6"/>
    <w:rsid w:val="00B247F2"/>
    <w:rsid w:val="00B249CF"/>
    <w:rsid w:val="00B253A0"/>
    <w:rsid w:val="00B25C3C"/>
    <w:rsid w:val="00B262D3"/>
    <w:rsid w:val="00B26679"/>
    <w:rsid w:val="00B26A50"/>
    <w:rsid w:val="00B270A6"/>
    <w:rsid w:val="00B2776B"/>
    <w:rsid w:val="00B27C72"/>
    <w:rsid w:val="00B3015C"/>
    <w:rsid w:val="00B30B2F"/>
    <w:rsid w:val="00B3123B"/>
    <w:rsid w:val="00B338CF"/>
    <w:rsid w:val="00B33A77"/>
    <w:rsid w:val="00B33C0D"/>
    <w:rsid w:val="00B34BAB"/>
    <w:rsid w:val="00B35426"/>
    <w:rsid w:val="00B355B5"/>
    <w:rsid w:val="00B35B2C"/>
    <w:rsid w:val="00B369D0"/>
    <w:rsid w:val="00B37006"/>
    <w:rsid w:val="00B3718A"/>
    <w:rsid w:val="00B376DF"/>
    <w:rsid w:val="00B37F09"/>
    <w:rsid w:val="00B400CD"/>
    <w:rsid w:val="00B40E56"/>
    <w:rsid w:val="00B41FF5"/>
    <w:rsid w:val="00B425D0"/>
    <w:rsid w:val="00B426FD"/>
    <w:rsid w:val="00B42919"/>
    <w:rsid w:val="00B42DB2"/>
    <w:rsid w:val="00B4380A"/>
    <w:rsid w:val="00B440E4"/>
    <w:rsid w:val="00B456AD"/>
    <w:rsid w:val="00B45741"/>
    <w:rsid w:val="00B45B50"/>
    <w:rsid w:val="00B466F5"/>
    <w:rsid w:val="00B46978"/>
    <w:rsid w:val="00B47783"/>
    <w:rsid w:val="00B50AE2"/>
    <w:rsid w:val="00B50D23"/>
    <w:rsid w:val="00B50F39"/>
    <w:rsid w:val="00B52D3F"/>
    <w:rsid w:val="00B52F5F"/>
    <w:rsid w:val="00B53109"/>
    <w:rsid w:val="00B541B8"/>
    <w:rsid w:val="00B542AD"/>
    <w:rsid w:val="00B55694"/>
    <w:rsid w:val="00B55D85"/>
    <w:rsid w:val="00B55D95"/>
    <w:rsid w:val="00B56654"/>
    <w:rsid w:val="00B5712A"/>
    <w:rsid w:val="00B57330"/>
    <w:rsid w:val="00B5764C"/>
    <w:rsid w:val="00B579B3"/>
    <w:rsid w:val="00B57EBC"/>
    <w:rsid w:val="00B60E46"/>
    <w:rsid w:val="00B60EE5"/>
    <w:rsid w:val="00B62C6B"/>
    <w:rsid w:val="00B637D4"/>
    <w:rsid w:val="00B63B8A"/>
    <w:rsid w:val="00B6431B"/>
    <w:rsid w:val="00B6481A"/>
    <w:rsid w:val="00B66377"/>
    <w:rsid w:val="00B67AE0"/>
    <w:rsid w:val="00B704AB"/>
    <w:rsid w:val="00B70593"/>
    <w:rsid w:val="00B7131F"/>
    <w:rsid w:val="00B7146F"/>
    <w:rsid w:val="00B71622"/>
    <w:rsid w:val="00B72A6B"/>
    <w:rsid w:val="00B72CCA"/>
    <w:rsid w:val="00B731C0"/>
    <w:rsid w:val="00B7386E"/>
    <w:rsid w:val="00B738CA"/>
    <w:rsid w:val="00B73928"/>
    <w:rsid w:val="00B74325"/>
    <w:rsid w:val="00B74438"/>
    <w:rsid w:val="00B7580D"/>
    <w:rsid w:val="00B75876"/>
    <w:rsid w:val="00B767CD"/>
    <w:rsid w:val="00B774AB"/>
    <w:rsid w:val="00B80DB5"/>
    <w:rsid w:val="00B80F39"/>
    <w:rsid w:val="00B811A0"/>
    <w:rsid w:val="00B811AC"/>
    <w:rsid w:val="00B81525"/>
    <w:rsid w:val="00B81792"/>
    <w:rsid w:val="00B820B8"/>
    <w:rsid w:val="00B82679"/>
    <w:rsid w:val="00B82AE0"/>
    <w:rsid w:val="00B82B7C"/>
    <w:rsid w:val="00B83DF0"/>
    <w:rsid w:val="00B84139"/>
    <w:rsid w:val="00B84CF6"/>
    <w:rsid w:val="00B84DA7"/>
    <w:rsid w:val="00B8531B"/>
    <w:rsid w:val="00B85A59"/>
    <w:rsid w:val="00B86544"/>
    <w:rsid w:val="00B86BDA"/>
    <w:rsid w:val="00B87BDE"/>
    <w:rsid w:val="00B9080D"/>
    <w:rsid w:val="00B913A9"/>
    <w:rsid w:val="00B923BD"/>
    <w:rsid w:val="00B923EA"/>
    <w:rsid w:val="00B928C5"/>
    <w:rsid w:val="00B93168"/>
    <w:rsid w:val="00B93230"/>
    <w:rsid w:val="00B93615"/>
    <w:rsid w:val="00B937DF"/>
    <w:rsid w:val="00B93DAF"/>
    <w:rsid w:val="00B93E3A"/>
    <w:rsid w:val="00B953B4"/>
    <w:rsid w:val="00B95610"/>
    <w:rsid w:val="00B966C9"/>
    <w:rsid w:val="00B978C0"/>
    <w:rsid w:val="00BA012B"/>
    <w:rsid w:val="00BA0A8C"/>
    <w:rsid w:val="00BA14F6"/>
    <w:rsid w:val="00BA1D17"/>
    <w:rsid w:val="00BA2704"/>
    <w:rsid w:val="00BA2A6F"/>
    <w:rsid w:val="00BA36AB"/>
    <w:rsid w:val="00BA376E"/>
    <w:rsid w:val="00BA4C84"/>
    <w:rsid w:val="00BA5AFB"/>
    <w:rsid w:val="00BA5EE7"/>
    <w:rsid w:val="00BA5F2A"/>
    <w:rsid w:val="00BA61CA"/>
    <w:rsid w:val="00BA63DD"/>
    <w:rsid w:val="00BA7976"/>
    <w:rsid w:val="00BB0289"/>
    <w:rsid w:val="00BB04D3"/>
    <w:rsid w:val="00BB100F"/>
    <w:rsid w:val="00BB102A"/>
    <w:rsid w:val="00BB14C6"/>
    <w:rsid w:val="00BB1564"/>
    <w:rsid w:val="00BB2571"/>
    <w:rsid w:val="00BB26FD"/>
    <w:rsid w:val="00BB32E2"/>
    <w:rsid w:val="00BB47EC"/>
    <w:rsid w:val="00BB523E"/>
    <w:rsid w:val="00BB6D68"/>
    <w:rsid w:val="00BB6E9E"/>
    <w:rsid w:val="00BB6EBF"/>
    <w:rsid w:val="00BB75B0"/>
    <w:rsid w:val="00BB7EB5"/>
    <w:rsid w:val="00BC03BB"/>
    <w:rsid w:val="00BC13EB"/>
    <w:rsid w:val="00BC1AC0"/>
    <w:rsid w:val="00BC2134"/>
    <w:rsid w:val="00BC2A0D"/>
    <w:rsid w:val="00BC2BE9"/>
    <w:rsid w:val="00BC2CBE"/>
    <w:rsid w:val="00BC311F"/>
    <w:rsid w:val="00BC3C39"/>
    <w:rsid w:val="00BC4842"/>
    <w:rsid w:val="00BC535B"/>
    <w:rsid w:val="00BC5874"/>
    <w:rsid w:val="00BC6CAB"/>
    <w:rsid w:val="00BC7EA0"/>
    <w:rsid w:val="00BD06B2"/>
    <w:rsid w:val="00BD1ACB"/>
    <w:rsid w:val="00BD1FFF"/>
    <w:rsid w:val="00BD2021"/>
    <w:rsid w:val="00BD2BF0"/>
    <w:rsid w:val="00BD2C4B"/>
    <w:rsid w:val="00BD2CF2"/>
    <w:rsid w:val="00BD47DC"/>
    <w:rsid w:val="00BD4F50"/>
    <w:rsid w:val="00BD57C6"/>
    <w:rsid w:val="00BD5DFC"/>
    <w:rsid w:val="00BD6E53"/>
    <w:rsid w:val="00BD7576"/>
    <w:rsid w:val="00BD7CFA"/>
    <w:rsid w:val="00BD7D3D"/>
    <w:rsid w:val="00BE0464"/>
    <w:rsid w:val="00BE2048"/>
    <w:rsid w:val="00BE3CCB"/>
    <w:rsid w:val="00BE3CE5"/>
    <w:rsid w:val="00BE3F2E"/>
    <w:rsid w:val="00BE451A"/>
    <w:rsid w:val="00BE4D1A"/>
    <w:rsid w:val="00BE4F50"/>
    <w:rsid w:val="00BE5C23"/>
    <w:rsid w:val="00BE6CC7"/>
    <w:rsid w:val="00BE72AC"/>
    <w:rsid w:val="00BE7861"/>
    <w:rsid w:val="00BE7A9B"/>
    <w:rsid w:val="00BF0265"/>
    <w:rsid w:val="00BF089A"/>
    <w:rsid w:val="00BF1448"/>
    <w:rsid w:val="00BF1D75"/>
    <w:rsid w:val="00BF21EB"/>
    <w:rsid w:val="00BF26A6"/>
    <w:rsid w:val="00BF27BD"/>
    <w:rsid w:val="00BF2A79"/>
    <w:rsid w:val="00BF2CF8"/>
    <w:rsid w:val="00BF3E56"/>
    <w:rsid w:val="00BF4440"/>
    <w:rsid w:val="00BF4C6B"/>
    <w:rsid w:val="00BF500C"/>
    <w:rsid w:val="00BF5C7B"/>
    <w:rsid w:val="00BF6645"/>
    <w:rsid w:val="00BF678A"/>
    <w:rsid w:val="00BF6812"/>
    <w:rsid w:val="00BF7CFB"/>
    <w:rsid w:val="00C0036E"/>
    <w:rsid w:val="00C0096F"/>
    <w:rsid w:val="00C010EE"/>
    <w:rsid w:val="00C011E4"/>
    <w:rsid w:val="00C013A3"/>
    <w:rsid w:val="00C01F7E"/>
    <w:rsid w:val="00C01FA5"/>
    <w:rsid w:val="00C02020"/>
    <w:rsid w:val="00C020BA"/>
    <w:rsid w:val="00C02FD1"/>
    <w:rsid w:val="00C03563"/>
    <w:rsid w:val="00C03B1E"/>
    <w:rsid w:val="00C03FE6"/>
    <w:rsid w:val="00C043E9"/>
    <w:rsid w:val="00C045D5"/>
    <w:rsid w:val="00C04C0D"/>
    <w:rsid w:val="00C04F2B"/>
    <w:rsid w:val="00C04F85"/>
    <w:rsid w:val="00C05546"/>
    <w:rsid w:val="00C059B3"/>
    <w:rsid w:val="00C05DFD"/>
    <w:rsid w:val="00C073B6"/>
    <w:rsid w:val="00C07D49"/>
    <w:rsid w:val="00C10306"/>
    <w:rsid w:val="00C10FD2"/>
    <w:rsid w:val="00C12470"/>
    <w:rsid w:val="00C12B90"/>
    <w:rsid w:val="00C13E82"/>
    <w:rsid w:val="00C14055"/>
    <w:rsid w:val="00C1589F"/>
    <w:rsid w:val="00C16656"/>
    <w:rsid w:val="00C17143"/>
    <w:rsid w:val="00C202AE"/>
    <w:rsid w:val="00C20404"/>
    <w:rsid w:val="00C20696"/>
    <w:rsid w:val="00C21E0B"/>
    <w:rsid w:val="00C224A6"/>
    <w:rsid w:val="00C22FDB"/>
    <w:rsid w:val="00C23040"/>
    <w:rsid w:val="00C245E7"/>
    <w:rsid w:val="00C273ED"/>
    <w:rsid w:val="00C27A87"/>
    <w:rsid w:val="00C27BFD"/>
    <w:rsid w:val="00C30007"/>
    <w:rsid w:val="00C30977"/>
    <w:rsid w:val="00C31060"/>
    <w:rsid w:val="00C31D0F"/>
    <w:rsid w:val="00C32511"/>
    <w:rsid w:val="00C3287A"/>
    <w:rsid w:val="00C3424F"/>
    <w:rsid w:val="00C343D9"/>
    <w:rsid w:val="00C346EF"/>
    <w:rsid w:val="00C351D9"/>
    <w:rsid w:val="00C35A78"/>
    <w:rsid w:val="00C3629C"/>
    <w:rsid w:val="00C362CD"/>
    <w:rsid w:val="00C36F9B"/>
    <w:rsid w:val="00C373EA"/>
    <w:rsid w:val="00C403EB"/>
    <w:rsid w:val="00C4128D"/>
    <w:rsid w:val="00C42040"/>
    <w:rsid w:val="00C42B84"/>
    <w:rsid w:val="00C439D3"/>
    <w:rsid w:val="00C440CC"/>
    <w:rsid w:val="00C45237"/>
    <w:rsid w:val="00C45C7E"/>
    <w:rsid w:val="00C466F8"/>
    <w:rsid w:val="00C47C3C"/>
    <w:rsid w:val="00C47F70"/>
    <w:rsid w:val="00C50193"/>
    <w:rsid w:val="00C518AF"/>
    <w:rsid w:val="00C51BC7"/>
    <w:rsid w:val="00C531D2"/>
    <w:rsid w:val="00C5329F"/>
    <w:rsid w:val="00C5343F"/>
    <w:rsid w:val="00C5378B"/>
    <w:rsid w:val="00C548A1"/>
    <w:rsid w:val="00C558D1"/>
    <w:rsid w:val="00C56447"/>
    <w:rsid w:val="00C568BB"/>
    <w:rsid w:val="00C56ED6"/>
    <w:rsid w:val="00C60EC1"/>
    <w:rsid w:val="00C6188C"/>
    <w:rsid w:val="00C6303E"/>
    <w:rsid w:val="00C65185"/>
    <w:rsid w:val="00C652F8"/>
    <w:rsid w:val="00C6580C"/>
    <w:rsid w:val="00C6613B"/>
    <w:rsid w:val="00C66713"/>
    <w:rsid w:val="00C67989"/>
    <w:rsid w:val="00C67D37"/>
    <w:rsid w:val="00C702DC"/>
    <w:rsid w:val="00C706C8"/>
    <w:rsid w:val="00C707DF"/>
    <w:rsid w:val="00C712DA"/>
    <w:rsid w:val="00C72051"/>
    <w:rsid w:val="00C72958"/>
    <w:rsid w:val="00C73AF9"/>
    <w:rsid w:val="00C74335"/>
    <w:rsid w:val="00C74518"/>
    <w:rsid w:val="00C75019"/>
    <w:rsid w:val="00C766D1"/>
    <w:rsid w:val="00C77357"/>
    <w:rsid w:val="00C809E2"/>
    <w:rsid w:val="00C8132E"/>
    <w:rsid w:val="00C81A2A"/>
    <w:rsid w:val="00C81DA6"/>
    <w:rsid w:val="00C82204"/>
    <w:rsid w:val="00C82652"/>
    <w:rsid w:val="00C82DC4"/>
    <w:rsid w:val="00C82E7D"/>
    <w:rsid w:val="00C83769"/>
    <w:rsid w:val="00C83B22"/>
    <w:rsid w:val="00C83F61"/>
    <w:rsid w:val="00C8485C"/>
    <w:rsid w:val="00C85076"/>
    <w:rsid w:val="00C8523C"/>
    <w:rsid w:val="00C857B3"/>
    <w:rsid w:val="00C865A9"/>
    <w:rsid w:val="00C86E3C"/>
    <w:rsid w:val="00C87BC9"/>
    <w:rsid w:val="00C905E1"/>
    <w:rsid w:val="00C90C37"/>
    <w:rsid w:val="00C91059"/>
    <w:rsid w:val="00C915D7"/>
    <w:rsid w:val="00C9171D"/>
    <w:rsid w:val="00C91E2E"/>
    <w:rsid w:val="00C92732"/>
    <w:rsid w:val="00C927D8"/>
    <w:rsid w:val="00C9387E"/>
    <w:rsid w:val="00C93BB8"/>
    <w:rsid w:val="00C93D9D"/>
    <w:rsid w:val="00C93E9E"/>
    <w:rsid w:val="00C94ED4"/>
    <w:rsid w:val="00C962CC"/>
    <w:rsid w:val="00C963A4"/>
    <w:rsid w:val="00C96D0E"/>
    <w:rsid w:val="00C96E7C"/>
    <w:rsid w:val="00CA125A"/>
    <w:rsid w:val="00CA1426"/>
    <w:rsid w:val="00CA14E8"/>
    <w:rsid w:val="00CA19B5"/>
    <w:rsid w:val="00CA1D70"/>
    <w:rsid w:val="00CA2413"/>
    <w:rsid w:val="00CA2478"/>
    <w:rsid w:val="00CA24DC"/>
    <w:rsid w:val="00CA2866"/>
    <w:rsid w:val="00CA29E4"/>
    <w:rsid w:val="00CA3184"/>
    <w:rsid w:val="00CA42BA"/>
    <w:rsid w:val="00CA52B9"/>
    <w:rsid w:val="00CA6769"/>
    <w:rsid w:val="00CA6816"/>
    <w:rsid w:val="00CA7081"/>
    <w:rsid w:val="00CA73A2"/>
    <w:rsid w:val="00CA76D2"/>
    <w:rsid w:val="00CA789C"/>
    <w:rsid w:val="00CA7FB5"/>
    <w:rsid w:val="00CB088E"/>
    <w:rsid w:val="00CB0A8B"/>
    <w:rsid w:val="00CB1306"/>
    <w:rsid w:val="00CB2581"/>
    <w:rsid w:val="00CB26D5"/>
    <w:rsid w:val="00CB3D8D"/>
    <w:rsid w:val="00CB403B"/>
    <w:rsid w:val="00CB435D"/>
    <w:rsid w:val="00CB4732"/>
    <w:rsid w:val="00CB5A7C"/>
    <w:rsid w:val="00CB6FD5"/>
    <w:rsid w:val="00CC0017"/>
    <w:rsid w:val="00CC1320"/>
    <w:rsid w:val="00CC1693"/>
    <w:rsid w:val="00CC1982"/>
    <w:rsid w:val="00CC25AD"/>
    <w:rsid w:val="00CC25B7"/>
    <w:rsid w:val="00CC264A"/>
    <w:rsid w:val="00CC34DB"/>
    <w:rsid w:val="00CC45B0"/>
    <w:rsid w:val="00CC474D"/>
    <w:rsid w:val="00CC5A7D"/>
    <w:rsid w:val="00CC5E83"/>
    <w:rsid w:val="00CC5F48"/>
    <w:rsid w:val="00CC6232"/>
    <w:rsid w:val="00CC637B"/>
    <w:rsid w:val="00CC6EF3"/>
    <w:rsid w:val="00CC704C"/>
    <w:rsid w:val="00CC71D2"/>
    <w:rsid w:val="00CC776C"/>
    <w:rsid w:val="00CD0148"/>
    <w:rsid w:val="00CD06EA"/>
    <w:rsid w:val="00CD2305"/>
    <w:rsid w:val="00CD35F5"/>
    <w:rsid w:val="00CD3A2A"/>
    <w:rsid w:val="00CD4F64"/>
    <w:rsid w:val="00CD5389"/>
    <w:rsid w:val="00CD5827"/>
    <w:rsid w:val="00CD5852"/>
    <w:rsid w:val="00CD6FF8"/>
    <w:rsid w:val="00CD729B"/>
    <w:rsid w:val="00CD745D"/>
    <w:rsid w:val="00CE02C6"/>
    <w:rsid w:val="00CE0724"/>
    <w:rsid w:val="00CE0EB8"/>
    <w:rsid w:val="00CE0F37"/>
    <w:rsid w:val="00CE15EF"/>
    <w:rsid w:val="00CE1A6F"/>
    <w:rsid w:val="00CE1D79"/>
    <w:rsid w:val="00CE1DDC"/>
    <w:rsid w:val="00CE26F7"/>
    <w:rsid w:val="00CE3F30"/>
    <w:rsid w:val="00CE48AA"/>
    <w:rsid w:val="00CE5531"/>
    <w:rsid w:val="00CE6B2D"/>
    <w:rsid w:val="00CE72C5"/>
    <w:rsid w:val="00CE7C3C"/>
    <w:rsid w:val="00CE7DE3"/>
    <w:rsid w:val="00CF0302"/>
    <w:rsid w:val="00CF040E"/>
    <w:rsid w:val="00CF08DE"/>
    <w:rsid w:val="00CF1277"/>
    <w:rsid w:val="00CF1A6B"/>
    <w:rsid w:val="00CF270E"/>
    <w:rsid w:val="00CF2E65"/>
    <w:rsid w:val="00CF36B2"/>
    <w:rsid w:val="00CF37C8"/>
    <w:rsid w:val="00CF41ED"/>
    <w:rsid w:val="00CF475F"/>
    <w:rsid w:val="00CF599F"/>
    <w:rsid w:val="00CF61C2"/>
    <w:rsid w:val="00CF67BE"/>
    <w:rsid w:val="00CF6D40"/>
    <w:rsid w:val="00CF6D9A"/>
    <w:rsid w:val="00CF752E"/>
    <w:rsid w:val="00D001F6"/>
    <w:rsid w:val="00D003FE"/>
    <w:rsid w:val="00D010D9"/>
    <w:rsid w:val="00D011A5"/>
    <w:rsid w:val="00D019B4"/>
    <w:rsid w:val="00D0346E"/>
    <w:rsid w:val="00D03FD1"/>
    <w:rsid w:val="00D04053"/>
    <w:rsid w:val="00D0421A"/>
    <w:rsid w:val="00D05094"/>
    <w:rsid w:val="00D05C57"/>
    <w:rsid w:val="00D07F56"/>
    <w:rsid w:val="00D11632"/>
    <w:rsid w:val="00D13A54"/>
    <w:rsid w:val="00D13B9C"/>
    <w:rsid w:val="00D13CCA"/>
    <w:rsid w:val="00D13DB9"/>
    <w:rsid w:val="00D14AB4"/>
    <w:rsid w:val="00D14B9F"/>
    <w:rsid w:val="00D14EED"/>
    <w:rsid w:val="00D1540E"/>
    <w:rsid w:val="00D155BF"/>
    <w:rsid w:val="00D15A0C"/>
    <w:rsid w:val="00D16069"/>
    <w:rsid w:val="00D161D9"/>
    <w:rsid w:val="00D176B1"/>
    <w:rsid w:val="00D20252"/>
    <w:rsid w:val="00D2026D"/>
    <w:rsid w:val="00D23130"/>
    <w:rsid w:val="00D245C7"/>
    <w:rsid w:val="00D24CA7"/>
    <w:rsid w:val="00D25C8D"/>
    <w:rsid w:val="00D26464"/>
    <w:rsid w:val="00D27253"/>
    <w:rsid w:val="00D27391"/>
    <w:rsid w:val="00D2771B"/>
    <w:rsid w:val="00D27887"/>
    <w:rsid w:val="00D30146"/>
    <w:rsid w:val="00D30AD8"/>
    <w:rsid w:val="00D30D3A"/>
    <w:rsid w:val="00D30DFC"/>
    <w:rsid w:val="00D32385"/>
    <w:rsid w:val="00D32DF7"/>
    <w:rsid w:val="00D337C4"/>
    <w:rsid w:val="00D33A7D"/>
    <w:rsid w:val="00D34266"/>
    <w:rsid w:val="00D34DAE"/>
    <w:rsid w:val="00D35169"/>
    <w:rsid w:val="00D35FD9"/>
    <w:rsid w:val="00D3603B"/>
    <w:rsid w:val="00D36593"/>
    <w:rsid w:val="00D36D6F"/>
    <w:rsid w:val="00D36F42"/>
    <w:rsid w:val="00D37119"/>
    <w:rsid w:val="00D37198"/>
    <w:rsid w:val="00D373FC"/>
    <w:rsid w:val="00D42649"/>
    <w:rsid w:val="00D427FC"/>
    <w:rsid w:val="00D42E7C"/>
    <w:rsid w:val="00D43E1F"/>
    <w:rsid w:val="00D4428B"/>
    <w:rsid w:val="00D44AEC"/>
    <w:rsid w:val="00D44ED1"/>
    <w:rsid w:val="00D45CD3"/>
    <w:rsid w:val="00D46C90"/>
    <w:rsid w:val="00D479F9"/>
    <w:rsid w:val="00D50385"/>
    <w:rsid w:val="00D512F0"/>
    <w:rsid w:val="00D51AF9"/>
    <w:rsid w:val="00D539D5"/>
    <w:rsid w:val="00D54351"/>
    <w:rsid w:val="00D549F1"/>
    <w:rsid w:val="00D54D9C"/>
    <w:rsid w:val="00D558B7"/>
    <w:rsid w:val="00D565DA"/>
    <w:rsid w:val="00D603BA"/>
    <w:rsid w:val="00D6090A"/>
    <w:rsid w:val="00D60C82"/>
    <w:rsid w:val="00D6150F"/>
    <w:rsid w:val="00D61DF1"/>
    <w:rsid w:val="00D62455"/>
    <w:rsid w:val="00D62F96"/>
    <w:rsid w:val="00D6354F"/>
    <w:rsid w:val="00D6360C"/>
    <w:rsid w:val="00D63699"/>
    <w:rsid w:val="00D64965"/>
    <w:rsid w:val="00D64FB1"/>
    <w:rsid w:val="00D6507F"/>
    <w:rsid w:val="00D66124"/>
    <w:rsid w:val="00D67C16"/>
    <w:rsid w:val="00D67D69"/>
    <w:rsid w:val="00D67F44"/>
    <w:rsid w:val="00D70729"/>
    <w:rsid w:val="00D708CE"/>
    <w:rsid w:val="00D71B7C"/>
    <w:rsid w:val="00D72391"/>
    <w:rsid w:val="00D73297"/>
    <w:rsid w:val="00D736EA"/>
    <w:rsid w:val="00D73B24"/>
    <w:rsid w:val="00D746A7"/>
    <w:rsid w:val="00D7497E"/>
    <w:rsid w:val="00D74E02"/>
    <w:rsid w:val="00D76C89"/>
    <w:rsid w:val="00D779F3"/>
    <w:rsid w:val="00D800CB"/>
    <w:rsid w:val="00D802D0"/>
    <w:rsid w:val="00D803F7"/>
    <w:rsid w:val="00D80C57"/>
    <w:rsid w:val="00D81E50"/>
    <w:rsid w:val="00D81FB2"/>
    <w:rsid w:val="00D82155"/>
    <w:rsid w:val="00D82C78"/>
    <w:rsid w:val="00D833F9"/>
    <w:rsid w:val="00D836C0"/>
    <w:rsid w:val="00D83B84"/>
    <w:rsid w:val="00D84788"/>
    <w:rsid w:val="00D8604C"/>
    <w:rsid w:val="00D86CC2"/>
    <w:rsid w:val="00D8730A"/>
    <w:rsid w:val="00D876B0"/>
    <w:rsid w:val="00D900B1"/>
    <w:rsid w:val="00D91B68"/>
    <w:rsid w:val="00D937CB"/>
    <w:rsid w:val="00D93B7E"/>
    <w:rsid w:val="00D94F22"/>
    <w:rsid w:val="00D9580E"/>
    <w:rsid w:val="00D9651A"/>
    <w:rsid w:val="00D969DD"/>
    <w:rsid w:val="00D96B35"/>
    <w:rsid w:val="00D96B5C"/>
    <w:rsid w:val="00D97796"/>
    <w:rsid w:val="00D97FE2"/>
    <w:rsid w:val="00DA00C8"/>
    <w:rsid w:val="00DA03E3"/>
    <w:rsid w:val="00DA1084"/>
    <w:rsid w:val="00DA1294"/>
    <w:rsid w:val="00DA2367"/>
    <w:rsid w:val="00DA2379"/>
    <w:rsid w:val="00DA2AB2"/>
    <w:rsid w:val="00DA2C85"/>
    <w:rsid w:val="00DA2F39"/>
    <w:rsid w:val="00DA3F90"/>
    <w:rsid w:val="00DA4A24"/>
    <w:rsid w:val="00DA4D82"/>
    <w:rsid w:val="00DA4DBB"/>
    <w:rsid w:val="00DA5AD6"/>
    <w:rsid w:val="00DA642D"/>
    <w:rsid w:val="00DA653C"/>
    <w:rsid w:val="00DA68B8"/>
    <w:rsid w:val="00DB0E9E"/>
    <w:rsid w:val="00DB1168"/>
    <w:rsid w:val="00DB1BF1"/>
    <w:rsid w:val="00DB4233"/>
    <w:rsid w:val="00DB57E8"/>
    <w:rsid w:val="00DB60DD"/>
    <w:rsid w:val="00DB6835"/>
    <w:rsid w:val="00DB6F11"/>
    <w:rsid w:val="00DC0D3C"/>
    <w:rsid w:val="00DC139D"/>
    <w:rsid w:val="00DC1552"/>
    <w:rsid w:val="00DC16A5"/>
    <w:rsid w:val="00DC1B62"/>
    <w:rsid w:val="00DC1B7D"/>
    <w:rsid w:val="00DC2F63"/>
    <w:rsid w:val="00DC3A04"/>
    <w:rsid w:val="00DC486A"/>
    <w:rsid w:val="00DC66B7"/>
    <w:rsid w:val="00DC6FE9"/>
    <w:rsid w:val="00DC7A63"/>
    <w:rsid w:val="00DD0054"/>
    <w:rsid w:val="00DD093A"/>
    <w:rsid w:val="00DD1B00"/>
    <w:rsid w:val="00DD1D75"/>
    <w:rsid w:val="00DD2AD2"/>
    <w:rsid w:val="00DD2DEE"/>
    <w:rsid w:val="00DD5207"/>
    <w:rsid w:val="00DD5612"/>
    <w:rsid w:val="00DD5F51"/>
    <w:rsid w:val="00DD6614"/>
    <w:rsid w:val="00DD7ABB"/>
    <w:rsid w:val="00DD7F72"/>
    <w:rsid w:val="00DE02F1"/>
    <w:rsid w:val="00DE16D9"/>
    <w:rsid w:val="00DE1886"/>
    <w:rsid w:val="00DE2C79"/>
    <w:rsid w:val="00DE2C81"/>
    <w:rsid w:val="00DE300B"/>
    <w:rsid w:val="00DE3761"/>
    <w:rsid w:val="00DE391F"/>
    <w:rsid w:val="00DE3A89"/>
    <w:rsid w:val="00DE3F27"/>
    <w:rsid w:val="00DE40A9"/>
    <w:rsid w:val="00DE527E"/>
    <w:rsid w:val="00DE55BA"/>
    <w:rsid w:val="00DE5831"/>
    <w:rsid w:val="00DE5C84"/>
    <w:rsid w:val="00DE6557"/>
    <w:rsid w:val="00DE7731"/>
    <w:rsid w:val="00DF17E0"/>
    <w:rsid w:val="00DF1825"/>
    <w:rsid w:val="00DF1B71"/>
    <w:rsid w:val="00DF20E4"/>
    <w:rsid w:val="00DF4335"/>
    <w:rsid w:val="00DF4CBE"/>
    <w:rsid w:val="00DF5241"/>
    <w:rsid w:val="00DF57D3"/>
    <w:rsid w:val="00DF5BC3"/>
    <w:rsid w:val="00DF77CA"/>
    <w:rsid w:val="00DF7E5A"/>
    <w:rsid w:val="00E01C4D"/>
    <w:rsid w:val="00E01F01"/>
    <w:rsid w:val="00E020A3"/>
    <w:rsid w:val="00E02D61"/>
    <w:rsid w:val="00E037AF"/>
    <w:rsid w:val="00E03EB1"/>
    <w:rsid w:val="00E04282"/>
    <w:rsid w:val="00E04993"/>
    <w:rsid w:val="00E058E8"/>
    <w:rsid w:val="00E05BBE"/>
    <w:rsid w:val="00E06235"/>
    <w:rsid w:val="00E06343"/>
    <w:rsid w:val="00E065D5"/>
    <w:rsid w:val="00E06E5D"/>
    <w:rsid w:val="00E07970"/>
    <w:rsid w:val="00E11B50"/>
    <w:rsid w:val="00E12D52"/>
    <w:rsid w:val="00E1361F"/>
    <w:rsid w:val="00E13785"/>
    <w:rsid w:val="00E13C9E"/>
    <w:rsid w:val="00E14515"/>
    <w:rsid w:val="00E20507"/>
    <w:rsid w:val="00E20C97"/>
    <w:rsid w:val="00E20ECE"/>
    <w:rsid w:val="00E21156"/>
    <w:rsid w:val="00E2325E"/>
    <w:rsid w:val="00E23B63"/>
    <w:rsid w:val="00E23BFC"/>
    <w:rsid w:val="00E25105"/>
    <w:rsid w:val="00E265A5"/>
    <w:rsid w:val="00E26A0B"/>
    <w:rsid w:val="00E26C82"/>
    <w:rsid w:val="00E27061"/>
    <w:rsid w:val="00E31CC4"/>
    <w:rsid w:val="00E323FD"/>
    <w:rsid w:val="00E32623"/>
    <w:rsid w:val="00E3297D"/>
    <w:rsid w:val="00E32D06"/>
    <w:rsid w:val="00E3394B"/>
    <w:rsid w:val="00E33ACB"/>
    <w:rsid w:val="00E33C9D"/>
    <w:rsid w:val="00E344E4"/>
    <w:rsid w:val="00E34764"/>
    <w:rsid w:val="00E36288"/>
    <w:rsid w:val="00E365AA"/>
    <w:rsid w:val="00E36B64"/>
    <w:rsid w:val="00E37067"/>
    <w:rsid w:val="00E37260"/>
    <w:rsid w:val="00E3766A"/>
    <w:rsid w:val="00E377FF"/>
    <w:rsid w:val="00E378D4"/>
    <w:rsid w:val="00E40B5D"/>
    <w:rsid w:val="00E4129F"/>
    <w:rsid w:val="00E41584"/>
    <w:rsid w:val="00E42157"/>
    <w:rsid w:val="00E42988"/>
    <w:rsid w:val="00E42B07"/>
    <w:rsid w:val="00E42F9E"/>
    <w:rsid w:val="00E43A37"/>
    <w:rsid w:val="00E4483C"/>
    <w:rsid w:val="00E44C0F"/>
    <w:rsid w:val="00E45685"/>
    <w:rsid w:val="00E45AC8"/>
    <w:rsid w:val="00E45BE6"/>
    <w:rsid w:val="00E46C05"/>
    <w:rsid w:val="00E5017A"/>
    <w:rsid w:val="00E50428"/>
    <w:rsid w:val="00E50AB7"/>
    <w:rsid w:val="00E510F6"/>
    <w:rsid w:val="00E512E6"/>
    <w:rsid w:val="00E5154B"/>
    <w:rsid w:val="00E51C0E"/>
    <w:rsid w:val="00E52A69"/>
    <w:rsid w:val="00E52EA7"/>
    <w:rsid w:val="00E53574"/>
    <w:rsid w:val="00E53888"/>
    <w:rsid w:val="00E53B09"/>
    <w:rsid w:val="00E54595"/>
    <w:rsid w:val="00E5657C"/>
    <w:rsid w:val="00E57073"/>
    <w:rsid w:val="00E5796E"/>
    <w:rsid w:val="00E57E14"/>
    <w:rsid w:val="00E57E78"/>
    <w:rsid w:val="00E606ED"/>
    <w:rsid w:val="00E60B09"/>
    <w:rsid w:val="00E6106D"/>
    <w:rsid w:val="00E61194"/>
    <w:rsid w:val="00E612AB"/>
    <w:rsid w:val="00E61933"/>
    <w:rsid w:val="00E619BF"/>
    <w:rsid w:val="00E61EB1"/>
    <w:rsid w:val="00E61F3D"/>
    <w:rsid w:val="00E6247D"/>
    <w:rsid w:val="00E6254E"/>
    <w:rsid w:val="00E63738"/>
    <w:rsid w:val="00E6488E"/>
    <w:rsid w:val="00E64B5A"/>
    <w:rsid w:val="00E65000"/>
    <w:rsid w:val="00E6542F"/>
    <w:rsid w:val="00E65522"/>
    <w:rsid w:val="00E660F1"/>
    <w:rsid w:val="00E66444"/>
    <w:rsid w:val="00E665C8"/>
    <w:rsid w:val="00E67E75"/>
    <w:rsid w:val="00E70A51"/>
    <w:rsid w:val="00E70C5C"/>
    <w:rsid w:val="00E70CC9"/>
    <w:rsid w:val="00E713EF"/>
    <w:rsid w:val="00E714BA"/>
    <w:rsid w:val="00E71A63"/>
    <w:rsid w:val="00E71E3B"/>
    <w:rsid w:val="00E72450"/>
    <w:rsid w:val="00E759C4"/>
    <w:rsid w:val="00E76135"/>
    <w:rsid w:val="00E765C3"/>
    <w:rsid w:val="00E767EB"/>
    <w:rsid w:val="00E774DE"/>
    <w:rsid w:val="00E77E0E"/>
    <w:rsid w:val="00E80406"/>
    <w:rsid w:val="00E80818"/>
    <w:rsid w:val="00E809C9"/>
    <w:rsid w:val="00E8128A"/>
    <w:rsid w:val="00E8153E"/>
    <w:rsid w:val="00E817BD"/>
    <w:rsid w:val="00E81DC8"/>
    <w:rsid w:val="00E83042"/>
    <w:rsid w:val="00E833FC"/>
    <w:rsid w:val="00E83FDB"/>
    <w:rsid w:val="00E853BB"/>
    <w:rsid w:val="00E86A8C"/>
    <w:rsid w:val="00E87729"/>
    <w:rsid w:val="00E87992"/>
    <w:rsid w:val="00E909F4"/>
    <w:rsid w:val="00E91319"/>
    <w:rsid w:val="00E91F2C"/>
    <w:rsid w:val="00E93227"/>
    <w:rsid w:val="00E94183"/>
    <w:rsid w:val="00E941EC"/>
    <w:rsid w:val="00E95023"/>
    <w:rsid w:val="00E951A0"/>
    <w:rsid w:val="00E96C61"/>
    <w:rsid w:val="00E96F0A"/>
    <w:rsid w:val="00E97194"/>
    <w:rsid w:val="00E97681"/>
    <w:rsid w:val="00EA01D8"/>
    <w:rsid w:val="00EA0A0E"/>
    <w:rsid w:val="00EA0F39"/>
    <w:rsid w:val="00EA1A9D"/>
    <w:rsid w:val="00EA3430"/>
    <w:rsid w:val="00EA34E5"/>
    <w:rsid w:val="00EA43E1"/>
    <w:rsid w:val="00EA4452"/>
    <w:rsid w:val="00EA491C"/>
    <w:rsid w:val="00EA4AF5"/>
    <w:rsid w:val="00EA51CB"/>
    <w:rsid w:val="00EA5D29"/>
    <w:rsid w:val="00EA5F5C"/>
    <w:rsid w:val="00EA6CD8"/>
    <w:rsid w:val="00EA75B6"/>
    <w:rsid w:val="00EA77C0"/>
    <w:rsid w:val="00EB05DE"/>
    <w:rsid w:val="00EB0630"/>
    <w:rsid w:val="00EB06D5"/>
    <w:rsid w:val="00EB0C37"/>
    <w:rsid w:val="00EB0CDF"/>
    <w:rsid w:val="00EB0E27"/>
    <w:rsid w:val="00EB121E"/>
    <w:rsid w:val="00EB13B3"/>
    <w:rsid w:val="00EB1D18"/>
    <w:rsid w:val="00EB2176"/>
    <w:rsid w:val="00EB2CB8"/>
    <w:rsid w:val="00EB3D33"/>
    <w:rsid w:val="00EB3D3A"/>
    <w:rsid w:val="00EB5A43"/>
    <w:rsid w:val="00EB5F8E"/>
    <w:rsid w:val="00EB69AF"/>
    <w:rsid w:val="00EB751C"/>
    <w:rsid w:val="00EC0D2A"/>
    <w:rsid w:val="00EC1014"/>
    <w:rsid w:val="00EC1601"/>
    <w:rsid w:val="00EC1620"/>
    <w:rsid w:val="00EC1BC4"/>
    <w:rsid w:val="00EC22A4"/>
    <w:rsid w:val="00EC2466"/>
    <w:rsid w:val="00EC2600"/>
    <w:rsid w:val="00EC31F9"/>
    <w:rsid w:val="00EC3482"/>
    <w:rsid w:val="00EC351B"/>
    <w:rsid w:val="00EC3911"/>
    <w:rsid w:val="00EC3D81"/>
    <w:rsid w:val="00EC4357"/>
    <w:rsid w:val="00EC4D04"/>
    <w:rsid w:val="00EC4ED0"/>
    <w:rsid w:val="00EC51D3"/>
    <w:rsid w:val="00EC55A1"/>
    <w:rsid w:val="00EC59E9"/>
    <w:rsid w:val="00EC6B65"/>
    <w:rsid w:val="00EC6CE5"/>
    <w:rsid w:val="00EC6EAF"/>
    <w:rsid w:val="00EC7BEA"/>
    <w:rsid w:val="00EC7C0C"/>
    <w:rsid w:val="00ED01EB"/>
    <w:rsid w:val="00ED0D01"/>
    <w:rsid w:val="00ED19F9"/>
    <w:rsid w:val="00ED25E3"/>
    <w:rsid w:val="00ED2907"/>
    <w:rsid w:val="00ED2DCE"/>
    <w:rsid w:val="00ED340E"/>
    <w:rsid w:val="00ED3440"/>
    <w:rsid w:val="00ED3735"/>
    <w:rsid w:val="00ED3ADD"/>
    <w:rsid w:val="00ED3F9A"/>
    <w:rsid w:val="00ED47B5"/>
    <w:rsid w:val="00ED5A9D"/>
    <w:rsid w:val="00ED5B04"/>
    <w:rsid w:val="00ED5EAC"/>
    <w:rsid w:val="00ED69CD"/>
    <w:rsid w:val="00ED7783"/>
    <w:rsid w:val="00EE0753"/>
    <w:rsid w:val="00EE0A66"/>
    <w:rsid w:val="00EE0C00"/>
    <w:rsid w:val="00EE1A18"/>
    <w:rsid w:val="00EE1F36"/>
    <w:rsid w:val="00EE254D"/>
    <w:rsid w:val="00EE27A0"/>
    <w:rsid w:val="00EE2B6A"/>
    <w:rsid w:val="00EE2F2F"/>
    <w:rsid w:val="00EE3A0C"/>
    <w:rsid w:val="00EE5D59"/>
    <w:rsid w:val="00EE5DE8"/>
    <w:rsid w:val="00EE6494"/>
    <w:rsid w:val="00EE6638"/>
    <w:rsid w:val="00EE685B"/>
    <w:rsid w:val="00EE6944"/>
    <w:rsid w:val="00EF0541"/>
    <w:rsid w:val="00EF1053"/>
    <w:rsid w:val="00EF12D5"/>
    <w:rsid w:val="00EF13D2"/>
    <w:rsid w:val="00EF1E21"/>
    <w:rsid w:val="00EF21B5"/>
    <w:rsid w:val="00EF227B"/>
    <w:rsid w:val="00EF2534"/>
    <w:rsid w:val="00EF27BD"/>
    <w:rsid w:val="00EF4992"/>
    <w:rsid w:val="00EF4996"/>
    <w:rsid w:val="00EF6B99"/>
    <w:rsid w:val="00EF7557"/>
    <w:rsid w:val="00F0010C"/>
    <w:rsid w:val="00F00583"/>
    <w:rsid w:val="00F0151D"/>
    <w:rsid w:val="00F01D5B"/>
    <w:rsid w:val="00F021DE"/>
    <w:rsid w:val="00F02A6F"/>
    <w:rsid w:val="00F02AEC"/>
    <w:rsid w:val="00F03049"/>
    <w:rsid w:val="00F031A9"/>
    <w:rsid w:val="00F031C7"/>
    <w:rsid w:val="00F03827"/>
    <w:rsid w:val="00F04488"/>
    <w:rsid w:val="00F04B0B"/>
    <w:rsid w:val="00F04C72"/>
    <w:rsid w:val="00F04D89"/>
    <w:rsid w:val="00F057A1"/>
    <w:rsid w:val="00F0587E"/>
    <w:rsid w:val="00F06F5E"/>
    <w:rsid w:val="00F0711E"/>
    <w:rsid w:val="00F07837"/>
    <w:rsid w:val="00F07898"/>
    <w:rsid w:val="00F07903"/>
    <w:rsid w:val="00F10E33"/>
    <w:rsid w:val="00F10ED6"/>
    <w:rsid w:val="00F113C8"/>
    <w:rsid w:val="00F11556"/>
    <w:rsid w:val="00F13770"/>
    <w:rsid w:val="00F13D19"/>
    <w:rsid w:val="00F13EDA"/>
    <w:rsid w:val="00F169D2"/>
    <w:rsid w:val="00F16E4A"/>
    <w:rsid w:val="00F1711C"/>
    <w:rsid w:val="00F179A9"/>
    <w:rsid w:val="00F17AB2"/>
    <w:rsid w:val="00F17C4A"/>
    <w:rsid w:val="00F17DEB"/>
    <w:rsid w:val="00F21773"/>
    <w:rsid w:val="00F217A7"/>
    <w:rsid w:val="00F2247C"/>
    <w:rsid w:val="00F22A4E"/>
    <w:rsid w:val="00F2306C"/>
    <w:rsid w:val="00F24531"/>
    <w:rsid w:val="00F24B4D"/>
    <w:rsid w:val="00F2549F"/>
    <w:rsid w:val="00F25BC4"/>
    <w:rsid w:val="00F2666B"/>
    <w:rsid w:val="00F26E30"/>
    <w:rsid w:val="00F27BFA"/>
    <w:rsid w:val="00F30B6A"/>
    <w:rsid w:val="00F31033"/>
    <w:rsid w:val="00F312D2"/>
    <w:rsid w:val="00F3224B"/>
    <w:rsid w:val="00F33120"/>
    <w:rsid w:val="00F34207"/>
    <w:rsid w:val="00F34636"/>
    <w:rsid w:val="00F346A5"/>
    <w:rsid w:val="00F34DD0"/>
    <w:rsid w:val="00F34F86"/>
    <w:rsid w:val="00F35111"/>
    <w:rsid w:val="00F360DD"/>
    <w:rsid w:val="00F36D70"/>
    <w:rsid w:val="00F37153"/>
    <w:rsid w:val="00F37A62"/>
    <w:rsid w:val="00F405C2"/>
    <w:rsid w:val="00F409D1"/>
    <w:rsid w:val="00F41ACC"/>
    <w:rsid w:val="00F426DB"/>
    <w:rsid w:val="00F43B88"/>
    <w:rsid w:val="00F44282"/>
    <w:rsid w:val="00F448E2"/>
    <w:rsid w:val="00F44FA1"/>
    <w:rsid w:val="00F47494"/>
    <w:rsid w:val="00F479AC"/>
    <w:rsid w:val="00F47DAE"/>
    <w:rsid w:val="00F47ED1"/>
    <w:rsid w:val="00F507A3"/>
    <w:rsid w:val="00F51453"/>
    <w:rsid w:val="00F54B03"/>
    <w:rsid w:val="00F54E09"/>
    <w:rsid w:val="00F5639F"/>
    <w:rsid w:val="00F56BF7"/>
    <w:rsid w:val="00F56D2C"/>
    <w:rsid w:val="00F572DB"/>
    <w:rsid w:val="00F57929"/>
    <w:rsid w:val="00F57AA9"/>
    <w:rsid w:val="00F57CCD"/>
    <w:rsid w:val="00F600DA"/>
    <w:rsid w:val="00F601B0"/>
    <w:rsid w:val="00F605CA"/>
    <w:rsid w:val="00F61BA9"/>
    <w:rsid w:val="00F624EA"/>
    <w:rsid w:val="00F6312E"/>
    <w:rsid w:val="00F63475"/>
    <w:rsid w:val="00F63C2D"/>
    <w:rsid w:val="00F63E92"/>
    <w:rsid w:val="00F646CD"/>
    <w:rsid w:val="00F655BF"/>
    <w:rsid w:val="00F66441"/>
    <w:rsid w:val="00F6684F"/>
    <w:rsid w:val="00F67826"/>
    <w:rsid w:val="00F67DD5"/>
    <w:rsid w:val="00F708A0"/>
    <w:rsid w:val="00F71468"/>
    <w:rsid w:val="00F719C8"/>
    <w:rsid w:val="00F71B70"/>
    <w:rsid w:val="00F722D5"/>
    <w:rsid w:val="00F722DF"/>
    <w:rsid w:val="00F727A9"/>
    <w:rsid w:val="00F731F2"/>
    <w:rsid w:val="00F735D8"/>
    <w:rsid w:val="00F73FA8"/>
    <w:rsid w:val="00F75414"/>
    <w:rsid w:val="00F75936"/>
    <w:rsid w:val="00F7680C"/>
    <w:rsid w:val="00F76904"/>
    <w:rsid w:val="00F76BA3"/>
    <w:rsid w:val="00F7761F"/>
    <w:rsid w:val="00F778D9"/>
    <w:rsid w:val="00F808A4"/>
    <w:rsid w:val="00F80951"/>
    <w:rsid w:val="00F809F5"/>
    <w:rsid w:val="00F81369"/>
    <w:rsid w:val="00F817F2"/>
    <w:rsid w:val="00F81B14"/>
    <w:rsid w:val="00F82347"/>
    <w:rsid w:val="00F827B9"/>
    <w:rsid w:val="00F82BC4"/>
    <w:rsid w:val="00F8366D"/>
    <w:rsid w:val="00F846B5"/>
    <w:rsid w:val="00F847E3"/>
    <w:rsid w:val="00F84917"/>
    <w:rsid w:val="00F84A02"/>
    <w:rsid w:val="00F84A8C"/>
    <w:rsid w:val="00F85487"/>
    <w:rsid w:val="00F85514"/>
    <w:rsid w:val="00F85887"/>
    <w:rsid w:val="00F86091"/>
    <w:rsid w:val="00F865C8"/>
    <w:rsid w:val="00F869D1"/>
    <w:rsid w:val="00F8744F"/>
    <w:rsid w:val="00F8799A"/>
    <w:rsid w:val="00F901AB"/>
    <w:rsid w:val="00F90904"/>
    <w:rsid w:val="00F90CF1"/>
    <w:rsid w:val="00F91507"/>
    <w:rsid w:val="00F92BB9"/>
    <w:rsid w:val="00F934B7"/>
    <w:rsid w:val="00F935F4"/>
    <w:rsid w:val="00F9458A"/>
    <w:rsid w:val="00F94A4C"/>
    <w:rsid w:val="00F94B77"/>
    <w:rsid w:val="00F94D0B"/>
    <w:rsid w:val="00F94E54"/>
    <w:rsid w:val="00F95F09"/>
    <w:rsid w:val="00F96CBC"/>
    <w:rsid w:val="00F96D81"/>
    <w:rsid w:val="00F9744B"/>
    <w:rsid w:val="00F97473"/>
    <w:rsid w:val="00F979AB"/>
    <w:rsid w:val="00F97E83"/>
    <w:rsid w:val="00FA0669"/>
    <w:rsid w:val="00FA0BA5"/>
    <w:rsid w:val="00FA15F7"/>
    <w:rsid w:val="00FA3061"/>
    <w:rsid w:val="00FA3098"/>
    <w:rsid w:val="00FA3ACF"/>
    <w:rsid w:val="00FA46A1"/>
    <w:rsid w:val="00FA590E"/>
    <w:rsid w:val="00FA6D09"/>
    <w:rsid w:val="00FA6E8A"/>
    <w:rsid w:val="00FA7304"/>
    <w:rsid w:val="00FA7B79"/>
    <w:rsid w:val="00FB0C92"/>
    <w:rsid w:val="00FB131A"/>
    <w:rsid w:val="00FB26E6"/>
    <w:rsid w:val="00FB2B51"/>
    <w:rsid w:val="00FB2DEA"/>
    <w:rsid w:val="00FB3066"/>
    <w:rsid w:val="00FB37BF"/>
    <w:rsid w:val="00FB52EB"/>
    <w:rsid w:val="00FB5E86"/>
    <w:rsid w:val="00FB5F45"/>
    <w:rsid w:val="00FB7AC7"/>
    <w:rsid w:val="00FC0618"/>
    <w:rsid w:val="00FC0805"/>
    <w:rsid w:val="00FC1B38"/>
    <w:rsid w:val="00FC224D"/>
    <w:rsid w:val="00FC22E4"/>
    <w:rsid w:val="00FC2C32"/>
    <w:rsid w:val="00FC3C4F"/>
    <w:rsid w:val="00FC3E34"/>
    <w:rsid w:val="00FC4596"/>
    <w:rsid w:val="00FC4917"/>
    <w:rsid w:val="00FC4D1D"/>
    <w:rsid w:val="00FC4E31"/>
    <w:rsid w:val="00FC4FDD"/>
    <w:rsid w:val="00FC550F"/>
    <w:rsid w:val="00FC595D"/>
    <w:rsid w:val="00FC643D"/>
    <w:rsid w:val="00FC6616"/>
    <w:rsid w:val="00FC727A"/>
    <w:rsid w:val="00FC7C68"/>
    <w:rsid w:val="00FC7D45"/>
    <w:rsid w:val="00FD08A9"/>
    <w:rsid w:val="00FD13F0"/>
    <w:rsid w:val="00FD1C98"/>
    <w:rsid w:val="00FD21EF"/>
    <w:rsid w:val="00FD2A08"/>
    <w:rsid w:val="00FD2B88"/>
    <w:rsid w:val="00FD3E65"/>
    <w:rsid w:val="00FD4B01"/>
    <w:rsid w:val="00FD5037"/>
    <w:rsid w:val="00FD58CD"/>
    <w:rsid w:val="00FD5CAF"/>
    <w:rsid w:val="00FD7290"/>
    <w:rsid w:val="00FD7C80"/>
    <w:rsid w:val="00FE0CB9"/>
    <w:rsid w:val="00FE1AE0"/>
    <w:rsid w:val="00FE1B99"/>
    <w:rsid w:val="00FE1E42"/>
    <w:rsid w:val="00FE2EB9"/>
    <w:rsid w:val="00FE312D"/>
    <w:rsid w:val="00FE3D1A"/>
    <w:rsid w:val="00FE3D21"/>
    <w:rsid w:val="00FE4BC8"/>
    <w:rsid w:val="00FE4CFE"/>
    <w:rsid w:val="00FE4EF4"/>
    <w:rsid w:val="00FE56A9"/>
    <w:rsid w:val="00FE6A1B"/>
    <w:rsid w:val="00FE6CDE"/>
    <w:rsid w:val="00FE7715"/>
    <w:rsid w:val="00FF0224"/>
    <w:rsid w:val="00FF03AB"/>
    <w:rsid w:val="00FF03B7"/>
    <w:rsid w:val="00FF147A"/>
    <w:rsid w:val="00FF1918"/>
    <w:rsid w:val="00FF24A2"/>
    <w:rsid w:val="00FF3717"/>
    <w:rsid w:val="00FF4EB2"/>
    <w:rsid w:val="00FF5C2A"/>
    <w:rsid w:val="00FF62DD"/>
    <w:rsid w:val="00FF68D5"/>
    <w:rsid w:val="00FF6A28"/>
    <w:rsid w:val="00FF6D3F"/>
    <w:rsid w:val="00FF765C"/>
    <w:rsid w:val="00FF7D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E5"/>
    <w:pPr>
      <w:widowControl w:val="0"/>
      <w:jc w:val="both"/>
    </w:pPr>
  </w:style>
  <w:style w:type="paragraph" w:styleId="Heading1">
    <w:name w:val="heading 1"/>
    <w:basedOn w:val="Normal"/>
    <w:next w:val="Normal"/>
    <w:link w:val="Heading1Char"/>
    <w:uiPriority w:val="99"/>
    <w:qFormat/>
    <w:rsid w:val="003D1ED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986973"/>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1EDD"/>
    <w:rPr>
      <w:rFonts w:cs="Times New Roman"/>
      <w:b/>
      <w:bCs/>
      <w:kern w:val="44"/>
      <w:sz w:val="44"/>
      <w:szCs w:val="44"/>
    </w:rPr>
  </w:style>
  <w:style w:type="character" w:customStyle="1" w:styleId="Heading2Char">
    <w:name w:val="Heading 2 Char"/>
    <w:basedOn w:val="DefaultParagraphFont"/>
    <w:link w:val="Heading2"/>
    <w:uiPriority w:val="99"/>
    <w:locked/>
    <w:rsid w:val="00986973"/>
    <w:rPr>
      <w:rFonts w:ascii="Cambria" w:eastAsia="宋体" w:hAnsi="Cambria" w:cs="Times New Roman"/>
      <w:b/>
      <w:bCs/>
      <w:sz w:val="32"/>
      <w:szCs w:val="32"/>
    </w:rPr>
  </w:style>
  <w:style w:type="paragraph" w:styleId="Header">
    <w:name w:val="header"/>
    <w:basedOn w:val="Normal"/>
    <w:link w:val="HeaderChar"/>
    <w:uiPriority w:val="99"/>
    <w:rsid w:val="00FF5C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F5C2A"/>
    <w:rPr>
      <w:rFonts w:cs="Times New Roman"/>
      <w:sz w:val="18"/>
      <w:szCs w:val="18"/>
    </w:rPr>
  </w:style>
  <w:style w:type="paragraph" w:styleId="Footer">
    <w:name w:val="footer"/>
    <w:basedOn w:val="Normal"/>
    <w:link w:val="FooterChar"/>
    <w:uiPriority w:val="99"/>
    <w:rsid w:val="00FF5C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F5C2A"/>
    <w:rPr>
      <w:rFonts w:cs="Times New Roman"/>
      <w:sz w:val="18"/>
      <w:szCs w:val="18"/>
    </w:rPr>
  </w:style>
  <w:style w:type="character" w:styleId="Hyperlink">
    <w:name w:val="Hyperlink"/>
    <w:basedOn w:val="DefaultParagraphFont"/>
    <w:uiPriority w:val="99"/>
    <w:semiHidden/>
    <w:rsid w:val="001518EC"/>
    <w:rPr>
      <w:rFonts w:cs="Times New Roman"/>
      <w:color w:val="0000FF"/>
      <w:u w:val="single"/>
    </w:rPr>
  </w:style>
  <w:style w:type="paragraph" w:styleId="ListParagraph">
    <w:name w:val="List Paragraph"/>
    <w:basedOn w:val="Normal"/>
    <w:uiPriority w:val="99"/>
    <w:qFormat/>
    <w:rsid w:val="00180763"/>
    <w:pPr>
      <w:ind w:firstLineChars="200" w:firstLine="420"/>
    </w:pPr>
  </w:style>
  <w:style w:type="character" w:styleId="Emphasis">
    <w:name w:val="Emphasis"/>
    <w:basedOn w:val="DefaultParagraphFont"/>
    <w:uiPriority w:val="99"/>
    <w:qFormat/>
    <w:rsid w:val="005C09E9"/>
    <w:rPr>
      <w:rFonts w:cs="Times New Roman"/>
      <w:i/>
      <w:iCs/>
    </w:rPr>
  </w:style>
  <w:style w:type="paragraph" w:styleId="NormalWeb">
    <w:name w:val="Normal (Web)"/>
    <w:basedOn w:val="Normal"/>
    <w:uiPriority w:val="99"/>
    <w:semiHidden/>
    <w:rsid w:val="00673582"/>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096036"/>
    <w:rPr>
      <w:sz w:val="18"/>
      <w:szCs w:val="18"/>
    </w:rPr>
  </w:style>
  <w:style w:type="character" w:customStyle="1" w:styleId="BalloonTextChar">
    <w:name w:val="Balloon Text Char"/>
    <w:basedOn w:val="DefaultParagraphFont"/>
    <w:link w:val="BalloonText"/>
    <w:uiPriority w:val="99"/>
    <w:semiHidden/>
    <w:locked/>
    <w:rsid w:val="00096036"/>
    <w:rPr>
      <w:rFonts w:cs="Times New Roman"/>
      <w:sz w:val="18"/>
      <w:szCs w:val="18"/>
    </w:rPr>
  </w:style>
  <w:style w:type="character" w:styleId="Strong">
    <w:name w:val="Strong"/>
    <w:basedOn w:val="DefaultParagraphFont"/>
    <w:uiPriority w:val="99"/>
    <w:qFormat/>
    <w:rsid w:val="00E54595"/>
    <w:rPr>
      <w:rFonts w:cs="Times New Roman"/>
      <w:b/>
      <w:bCs/>
    </w:rPr>
  </w:style>
  <w:style w:type="character" w:styleId="PageNumber">
    <w:name w:val="page number"/>
    <w:basedOn w:val="DefaultParagraphFont"/>
    <w:uiPriority w:val="99"/>
    <w:rsid w:val="00B6481A"/>
    <w:rPr>
      <w:rFonts w:cs="Times New Roman"/>
    </w:rPr>
  </w:style>
</w:styles>
</file>

<file path=word/webSettings.xml><?xml version="1.0" encoding="utf-8"?>
<w:webSettings xmlns:r="http://schemas.openxmlformats.org/officeDocument/2006/relationships" xmlns:w="http://schemas.openxmlformats.org/wordprocessingml/2006/main">
  <w:divs>
    <w:div w:id="1755783993">
      <w:marLeft w:val="0"/>
      <w:marRight w:val="0"/>
      <w:marTop w:val="0"/>
      <w:marBottom w:val="0"/>
      <w:divBdr>
        <w:top w:val="none" w:sz="0" w:space="0" w:color="auto"/>
        <w:left w:val="none" w:sz="0" w:space="0" w:color="auto"/>
        <w:bottom w:val="none" w:sz="0" w:space="0" w:color="auto"/>
        <w:right w:val="none" w:sz="0" w:space="0" w:color="auto"/>
      </w:divBdr>
    </w:div>
    <w:div w:id="1755783994">
      <w:marLeft w:val="0"/>
      <w:marRight w:val="0"/>
      <w:marTop w:val="0"/>
      <w:marBottom w:val="0"/>
      <w:divBdr>
        <w:top w:val="none" w:sz="0" w:space="0" w:color="auto"/>
        <w:left w:val="none" w:sz="0" w:space="0" w:color="auto"/>
        <w:bottom w:val="none" w:sz="0" w:space="0" w:color="auto"/>
        <w:right w:val="none" w:sz="0" w:space="0" w:color="auto"/>
      </w:divBdr>
    </w:div>
    <w:div w:id="1755783995">
      <w:marLeft w:val="0"/>
      <w:marRight w:val="0"/>
      <w:marTop w:val="0"/>
      <w:marBottom w:val="0"/>
      <w:divBdr>
        <w:top w:val="none" w:sz="0" w:space="0" w:color="auto"/>
        <w:left w:val="none" w:sz="0" w:space="0" w:color="auto"/>
        <w:bottom w:val="none" w:sz="0" w:space="0" w:color="auto"/>
        <w:right w:val="none" w:sz="0" w:space="0" w:color="auto"/>
      </w:divBdr>
      <w:divsChild>
        <w:div w:id="1755784004">
          <w:marLeft w:val="0"/>
          <w:marRight w:val="0"/>
          <w:marTop w:val="0"/>
          <w:marBottom w:val="120"/>
          <w:divBdr>
            <w:top w:val="none" w:sz="0" w:space="0" w:color="auto"/>
            <w:left w:val="none" w:sz="0" w:space="0" w:color="auto"/>
            <w:bottom w:val="none" w:sz="0" w:space="0" w:color="auto"/>
            <w:right w:val="none" w:sz="0" w:space="0" w:color="auto"/>
          </w:divBdr>
        </w:div>
        <w:div w:id="1755784037">
          <w:marLeft w:val="0"/>
          <w:marRight w:val="0"/>
          <w:marTop w:val="0"/>
          <w:marBottom w:val="120"/>
          <w:divBdr>
            <w:top w:val="none" w:sz="0" w:space="0" w:color="auto"/>
            <w:left w:val="none" w:sz="0" w:space="0" w:color="auto"/>
            <w:bottom w:val="none" w:sz="0" w:space="0" w:color="auto"/>
            <w:right w:val="none" w:sz="0" w:space="0" w:color="auto"/>
          </w:divBdr>
        </w:div>
        <w:div w:id="1755784041">
          <w:marLeft w:val="0"/>
          <w:marRight w:val="0"/>
          <w:marTop w:val="0"/>
          <w:marBottom w:val="120"/>
          <w:divBdr>
            <w:top w:val="none" w:sz="0" w:space="0" w:color="auto"/>
            <w:left w:val="none" w:sz="0" w:space="0" w:color="auto"/>
            <w:bottom w:val="none" w:sz="0" w:space="0" w:color="auto"/>
            <w:right w:val="none" w:sz="0" w:space="0" w:color="auto"/>
          </w:divBdr>
        </w:div>
        <w:div w:id="1755784065">
          <w:marLeft w:val="0"/>
          <w:marRight w:val="0"/>
          <w:marTop w:val="0"/>
          <w:marBottom w:val="120"/>
          <w:divBdr>
            <w:top w:val="none" w:sz="0" w:space="0" w:color="auto"/>
            <w:left w:val="none" w:sz="0" w:space="0" w:color="auto"/>
            <w:bottom w:val="none" w:sz="0" w:space="0" w:color="auto"/>
            <w:right w:val="none" w:sz="0" w:space="0" w:color="auto"/>
          </w:divBdr>
        </w:div>
        <w:div w:id="1755784069">
          <w:marLeft w:val="0"/>
          <w:marRight w:val="0"/>
          <w:marTop w:val="0"/>
          <w:marBottom w:val="120"/>
          <w:divBdr>
            <w:top w:val="none" w:sz="0" w:space="0" w:color="auto"/>
            <w:left w:val="none" w:sz="0" w:space="0" w:color="auto"/>
            <w:bottom w:val="none" w:sz="0" w:space="0" w:color="auto"/>
            <w:right w:val="none" w:sz="0" w:space="0" w:color="auto"/>
          </w:divBdr>
        </w:div>
      </w:divsChild>
    </w:div>
    <w:div w:id="1755783996">
      <w:marLeft w:val="0"/>
      <w:marRight w:val="0"/>
      <w:marTop w:val="0"/>
      <w:marBottom w:val="0"/>
      <w:divBdr>
        <w:top w:val="none" w:sz="0" w:space="0" w:color="auto"/>
        <w:left w:val="none" w:sz="0" w:space="0" w:color="auto"/>
        <w:bottom w:val="none" w:sz="0" w:space="0" w:color="auto"/>
        <w:right w:val="none" w:sz="0" w:space="0" w:color="auto"/>
      </w:divBdr>
      <w:divsChild>
        <w:div w:id="1755784006">
          <w:marLeft w:val="0"/>
          <w:marRight w:val="0"/>
          <w:marTop w:val="0"/>
          <w:marBottom w:val="0"/>
          <w:divBdr>
            <w:top w:val="none" w:sz="0" w:space="0" w:color="auto"/>
            <w:left w:val="none" w:sz="0" w:space="0" w:color="auto"/>
            <w:bottom w:val="none" w:sz="0" w:space="0" w:color="auto"/>
            <w:right w:val="none" w:sz="0" w:space="0" w:color="auto"/>
          </w:divBdr>
          <w:divsChild>
            <w:div w:id="1755784021">
              <w:marLeft w:val="0"/>
              <w:marRight w:val="0"/>
              <w:marTop w:val="0"/>
              <w:marBottom w:val="0"/>
              <w:divBdr>
                <w:top w:val="none" w:sz="0" w:space="0" w:color="auto"/>
                <w:left w:val="none" w:sz="0" w:space="0" w:color="auto"/>
                <w:bottom w:val="none" w:sz="0" w:space="0" w:color="auto"/>
                <w:right w:val="none" w:sz="0" w:space="0" w:color="auto"/>
              </w:divBdr>
              <w:divsChild>
                <w:div w:id="1755784058">
                  <w:marLeft w:val="0"/>
                  <w:marRight w:val="0"/>
                  <w:marTop w:val="0"/>
                  <w:marBottom w:val="0"/>
                  <w:divBdr>
                    <w:top w:val="none" w:sz="0" w:space="0" w:color="auto"/>
                    <w:left w:val="none" w:sz="0" w:space="0" w:color="auto"/>
                    <w:bottom w:val="none" w:sz="0" w:space="0" w:color="auto"/>
                    <w:right w:val="none" w:sz="0" w:space="0" w:color="auto"/>
                  </w:divBdr>
                  <w:divsChild>
                    <w:div w:id="1755784033">
                      <w:marLeft w:val="0"/>
                      <w:marRight w:val="0"/>
                      <w:marTop w:val="0"/>
                      <w:marBottom w:val="0"/>
                      <w:divBdr>
                        <w:top w:val="none" w:sz="0" w:space="0" w:color="auto"/>
                        <w:left w:val="none" w:sz="0" w:space="0" w:color="auto"/>
                        <w:bottom w:val="none" w:sz="0" w:space="0" w:color="auto"/>
                        <w:right w:val="none" w:sz="0" w:space="0" w:color="auto"/>
                      </w:divBdr>
                      <w:divsChild>
                        <w:div w:id="1755784043">
                          <w:marLeft w:val="0"/>
                          <w:marRight w:val="0"/>
                          <w:marTop w:val="0"/>
                          <w:marBottom w:val="0"/>
                          <w:divBdr>
                            <w:top w:val="none" w:sz="0" w:space="0" w:color="auto"/>
                            <w:left w:val="none" w:sz="0" w:space="0" w:color="auto"/>
                            <w:bottom w:val="none" w:sz="0" w:space="0" w:color="auto"/>
                            <w:right w:val="none" w:sz="0" w:space="0" w:color="auto"/>
                          </w:divBdr>
                          <w:divsChild>
                            <w:div w:id="1755783997">
                              <w:marLeft w:val="0"/>
                              <w:marRight w:val="0"/>
                              <w:marTop w:val="0"/>
                              <w:marBottom w:val="0"/>
                              <w:divBdr>
                                <w:top w:val="none" w:sz="0" w:space="0" w:color="auto"/>
                                <w:left w:val="none" w:sz="0" w:space="0" w:color="auto"/>
                                <w:bottom w:val="none" w:sz="0" w:space="0" w:color="auto"/>
                                <w:right w:val="none" w:sz="0" w:space="0" w:color="auto"/>
                              </w:divBdr>
                              <w:divsChild>
                                <w:div w:id="1755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783998">
      <w:marLeft w:val="0"/>
      <w:marRight w:val="0"/>
      <w:marTop w:val="0"/>
      <w:marBottom w:val="0"/>
      <w:divBdr>
        <w:top w:val="none" w:sz="0" w:space="0" w:color="auto"/>
        <w:left w:val="none" w:sz="0" w:space="0" w:color="auto"/>
        <w:bottom w:val="none" w:sz="0" w:space="0" w:color="auto"/>
        <w:right w:val="none" w:sz="0" w:space="0" w:color="auto"/>
      </w:divBdr>
    </w:div>
    <w:div w:id="1755784000">
      <w:marLeft w:val="0"/>
      <w:marRight w:val="0"/>
      <w:marTop w:val="0"/>
      <w:marBottom w:val="0"/>
      <w:divBdr>
        <w:top w:val="none" w:sz="0" w:space="0" w:color="auto"/>
        <w:left w:val="none" w:sz="0" w:space="0" w:color="auto"/>
        <w:bottom w:val="none" w:sz="0" w:space="0" w:color="auto"/>
        <w:right w:val="none" w:sz="0" w:space="0" w:color="auto"/>
      </w:divBdr>
    </w:div>
    <w:div w:id="1755784001">
      <w:marLeft w:val="0"/>
      <w:marRight w:val="0"/>
      <w:marTop w:val="0"/>
      <w:marBottom w:val="0"/>
      <w:divBdr>
        <w:top w:val="none" w:sz="0" w:space="0" w:color="auto"/>
        <w:left w:val="none" w:sz="0" w:space="0" w:color="auto"/>
        <w:bottom w:val="none" w:sz="0" w:space="0" w:color="auto"/>
        <w:right w:val="none" w:sz="0" w:space="0" w:color="auto"/>
      </w:divBdr>
    </w:div>
    <w:div w:id="1755784002">
      <w:marLeft w:val="0"/>
      <w:marRight w:val="0"/>
      <w:marTop w:val="0"/>
      <w:marBottom w:val="0"/>
      <w:divBdr>
        <w:top w:val="none" w:sz="0" w:space="0" w:color="auto"/>
        <w:left w:val="none" w:sz="0" w:space="0" w:color="auto"/>
        <w:bottom w:val="none" w:sz="0" w:space="0" w:color="auto"/>
        <w:right w:val="none" w:sz="0" w:space="0" w:color="auto"/>
      </w:divBdr>
      <w:divsChild>
        <w:div w:id="1755784074">
          <w:marLeft w:val="446"/>
          <w:marRight w:val="0"/>
          <w:marTop w:val="0"/>
          <w:marBottom w:val="0"/>
          <w:divBdr>
            <w:top w:val="none" w:sz="0" w:space="0" w:color="auto"/>
            <w:left w:val="none" w:sz="0" w:space="0" w:color="auto"/>
            <w:bottom w:val="none" w:sz="0" w:space="0" w:color="auto"/>
            <w:right w:val="none" w:sz="0" w:space="0" w:color="auto"/>
          </w:divBdr>
        </w:div>
      </w:divsChild>
    </w:div>
    <w:div w:id="1755784003">
      <w:marLeft w:val="0"/>
      <w:marRight w:val="0"/>
      <w:marTop w:val="0"/>
      <w:marBottom w:val="0"/>
      <w:divBdr>
        <w:top w:val="none" w:sz="0" w:space="0" w:color="auto"/>
        <w:left w:val="none" w:sz="0" w:space="0" w:color="auto"/>
        <w:bottom w:val="none" w:sz="0" w:space="0" w:color="auto"/>
        <w:right w:val="none" w:sz="0" w:space="0" w:color="auto"/>
      </w:divBdr>
      <w:divsChild>
        <w:div w:id="1755784050">
          <w:marLeft w:val="547"/>
          <w:marRight w:val="0"/>
          <w:marTop w:val="0"/>
          <w:marBottom w:val="0"/>
          <w:divBdr>
            <w:top w:val="none" w:sz="0" w:space="0" w:color="auto"/>
            <w:left w:val="none" w:sz="0" w:space="0" w:color="auto"/>
            <w:bottom w:val="none" w:sz="0" w:space="0" w:color="auto"/>
            <w:right w:val="none" w:sz="0" w:space="0" w:color="auto"/>
          </w:divBdr>
        </w:div>
      </w:divsChild>
    </w:div>
    <w:div w:id="1755784005">
      <w:marLeft w:val="0"/>
      <w:marRight w:val="0"/>
      <w:marTop w:val="0"/>
      <w:marBottom w:val="0"/>
      <w:divBdr>
        <w:top w:val="none" w:sz="0" w:space="0" w:color="auto"/>
        <w:left w:val="none" w:sz="0" w:space="0" w:color="auto"/>
        <w:bottom w:val="none" w:sz="0" w:space="0" w:color="auto"/>
        <w:right w:val="none" w:sz="0" w:space="0" w:color="auto"/>
      </w:divBdr>
    </w:div>
    <w:div w:id="1755784007">
      <w:marLeft w:val="0"/>
      <w:marRight w:val="0"/>
      <w:marTop w:val="0"/>
      <w:marBottom w:val="0"/>
      <w:divBdr>
        <w:top w:val="none" w:sz="0" w:space="0" w:color="auto"/>
        <w:left w:val="none" w:sz="0" w:space="0" w:color="auto"/>
        <w:bottom w:val="none" w:sz="0" w:space="0" w:color="auto"/>
        <w:right w:val="none" w:sz="0" w:space="0" w:color="auto"/>
      </w:divBdr>
    </w:div>
    <w:div w:id="1755784008">
      <w:marLeft w:val="0"/>
      <w:marRight w:val="0"/>
      <w:marTop w:val="0"/>
      <w:marBottom w:val="0"/>
      <w:divBdr>
        <w:top w:val="none" w:sz="0" w:space="0" w:color="auto"/>
        <w:left w:val="none" w:sz="0" w:space="0" w:color="auto"/>
        <w:bottom w:val="none" w:sz="0" w:space="0" w:color="auto"/>
        <w:right w:val="none" w:sz="0" w:space="0" w:color="auto"/>
      </w:divBdr>
    </w:div>
    <w:div w:id="1755784009">
      <w:marLeft w:val="0"/>
      <w:marRight w:val="0"/>
      <w:marTop w:val="0"/>
      <w:marBottom w:val="0"/>
      <w:divBdr>
        <w:top w:val="none" w:sz="0" w:space="0" w:color="auto"/>
        <w:left w:val="none" w:sz="0" w:space="0" w:color="auto"/>
        <w:bottom w:val="none" w:sz="0" w:space="0" w:color="auto"/>
        <w:right w:val="none" w:sz="0" w:space="0" w:color="auto"/>
      </w:divBdr>
    </w:div>
    <w:div w:id="1755784010">
      <w:marLeft w:val="0"/>
      <w:marRight w:val="0"/>
      <w:marTop w:val="0"/>
      <w:marBottom w:val="0"/>
      <w:divBdr>
        <w:top w:val="none" w:sz="0" w:space="0" w:color="auto"/>
        <w:left w:val="none" w:sz="0" w:space="0" w:color="auto"/>
        <w:bottom w:val="none" w:sz="0" w:space="0" w:color="auto"/>
        <w:right w:val="none" w:sz="0" w:space="0" w:color="auto"/>
      </w:divBdr>
    </w:div>
    <w:div w:id="1755784011">
      <w:marLeft w:val="0"/>
      <w:marRight w:val="0"/>
      <w:marTop w:val="0"/>
      <w:marBottom w:val="0"/>
      <w:divBdr>
        <w:top w:val="none" w:sz="0" w:space="0" w:color="auto"/>
        <w:left w:val="none" w:sz="0" w:space="0" w:color="auto"/>
        <w:bottom w:val="none" w:sz="0" w:space="0" w:color="auto"/>
        <w:right w:val="none" w:sz="0" w:space="0" w:color="auto"/>
      </w:divBdr>
    </w:div>
    <w:div w:id="1755784012">
      <w:marLeft w:val="0"/>
      <w:marRight w:val="0"/>
      <w:marTop w:val="0"/>
      <w:marBottom w:val="0"/>
      <w:divBdr>
        <w:top w:val="none" w:sz="0" w:space="0" w:color="auto"/>
        <w:left w:val="none" w:sz="0" w:space="0" w:color="auto"/>
        <w:bottom w:val="none" w:sz="0" w:space="0" w:color="auto"/>
        <w:right w:val="none" w:sz="0" w:space="0" w:color="auto"/>
      </w:divBdr>
    </w:div>
    <w:div w:id="1755784013">
      <w:marLeft w:val="0"/>
      <w:marRight w:val="0"/>
      <w:marTop w:val="0"/>
      <w:marBottom w:val="0"/>
      <w:divBdr>
        <w:top w:val="none" w:sz="0" w:space="0" w:color="auto"/>
        <w:left w:val="none" w:sz="0" w:space="0" w:color="auto"/>
        <w:bottom w:val="none" w:sz="0" w:space="0" w:color="auto"/>
        <w:right w:val="none" w:sz="0" w:space="0" w:color="auto"/>
      </w:divBdr>
    </w:div>
    <w:div w:id="1755784015">
      <w:marLeft w:val="0"/>
      <w:marRight w:val="0"/>
      <w:marTop w:val="0"/>
      <w:marBottom w:val="0"/>
      <w:divBdr>
        <w:top w:val="none" w:sz="0" w:space="0" w:color="auto"/>
        <w:left w:val="none" w:sz="0" w:space="0" w:color="auto"/>
        <w:bottom w:val="none" w:sz="0" w:space="0" w:color="auto"/>
        <w:right w:val="none" w:sz="0" w:space="0" w:color="auto"/>
      </w:divBdr>
      <w:divsChild>
        <w:div w:id="1755784014">
          <w:marLeft w:val="720"/>
          <w:marRight w:val="0"/>
          <w:marTop w:val="60"/>
          <w:marBottom w:val="60"/>
          <w:divBdr>
            <w:top w:val="none" w:sz="0" w:space="0" w:color="auto"/>
            <w:left w:val="none" w:sz="0" w:space="0" w:color="auto"/>
            <w:bottom w:val="none" w:sz="0" w:space="0" w:color="auto"/>
            <w:right w:val="none" w:sz="0" w:space="0" w:color="auto"/>
          </w:divBdr>
        </w:div>
        <w:div w:id="1755784020">
          <w:marLeft w:val="720"/>
          <w:marRight w:val="0"/>
          <w:marTop w:val="60"/>
          <w:marBottom w:val="60"/>
          <w:divBdr>
            <w:top w:val="none" w:sz="0" w:space="0" w:color="auto"/>
            <w:left w:val="none" w:sz="0" w:space="0" w:color="auto"/>
            <w:bottom w:val="none" w:sz="0" w:space="0" w:color="auto"/>
            <w:right w:val="none" w:sz="0" w:space="0" w:color="auto"/>
          </w:divBdr>
        </w:div>
        <w:div w:id="1755784078">
          <w:marLeft w:val="720"/>
          <w:marRight w:val="0"/>
          <w:marTop w:val="60"/>
          <w:marBottom w:val="60"/>
          <w:divBdr>
            <w:top w:val="none" w:sz="0" w:space="0" w:color="auto"/>
            <w:left w:val="none" w:sz="0" w:space="0" w:color="auto"/>
            <w:bottom w:val="none" w:sz="0" w:space="0" w:color="auto"/>
            <w:right w:val="none" w:sz="0" w:space="0" w:color="auto"/>
          </w:divBdr>
        </w:div>
      </w:divsChild>
    </w:div>
    <w:div w:id="1755784016">
      <w:marLeft w:val="0"/>
      <w:marRight w:val="0"/>
      <w:marTop w:val="0"/>
      <w:marBottom w:val="0"/>
      <w:divBdr>
        <w:top w:val="none" w:sz="0" w:space="0" w:color="auto"/>
        <w:left w:val="none" w:sz="0" w:space="0" w:color="auto"/>
        <w:bottom w:val="none" w:sz="0" w:space="0" w:color="auto"/>
        <w:right w:val="none" w:sz="0" w:space="0" w:color="auto"/>
      </w:divBdr>
    </w:div>
    <w:div w:id="1755784017">
      <w:marLeft w:val="0"/>
      <w:marRight w:val="0"/>
      <w:marTop w:val="0"/>
      <w:marBottom w:val="0"/>
      <w:divBdr>
        <w:top w:val="none" w:sz="0" w:space="0" w:color="auto"/>
        <w:left w:val="none" w:sz="0" w:space="0" w:color="auto"/>
        <w:bottom w:val="none" w:sz="0" w:space="0" w:color="auto"/>
        <w:right w:val="none" w:sz="0" w:space="0" w:color="auto"/>
      </w:divBdr>
    </w:div>
    <w:div w:id="1755784018">
      <w:marLeft w:val="0"/>
      <w:marRight w:val="0"/>
      <w:marTop w:val="0"/>
      <w:marBottom w:val="0"/>
      <w:divBdr>
        <w:top w:val="none" w:sz="0" w:space="0" w:color="auto"/>
        <w:left w:val="none" w:sz="0" w:space="0" w:color="auto"/>
        <w:bottom w:val="none" w:sz="0" w:space="0" w:color="auto"/>
        <w:right w:val="none" w:sz="0" w:space="0" w:color="auto"/>
      </w:divBdr>
    </w:div>
    <w:div w:id="1755784019">
      <w:marLeft w:val="0"/>
      <w:marRight w:val="0"/>
      <w:marTop w:val="0"/>
      <w:marBottom w:val="0"/>
      <w:divBdr>
        <w:top w:val="none" w:sz="0" w:space="0" w:color="auto"/>
        <w:left w:val="none" w:sz="0" w:space="0" w:color="auto"/>
        <w:bottom w:val="none" w:sz="0" w:space="0" w:color="auto"/>
        <w:right w:val="none" w:sz="0" w:space="0" w:color="auto"/>
      </w:divBdr>
    </w:div>
    <w:div w:id="1755784023">
      <w:marLeft w:val="0"/>
      <w:marRight w:val="0"/>
      <w:marTop w:val="0"/>
      <w:marBottom w:val="0"/>
      <w:divBdr>
        <w:top w:val="none" w:sz="0" w:space="0" w:color="auto"/>
        <w:left w:val="none" w:sz="0" w:space="0" w:color="auto"/>
        <w:bottom w:val="none" w:sz="0" w:space="0" w:color="auto"/>
        <w:right w:val="none" w:sz="0" w:space="0" w:color="auto"/>
      </w:divBdr>
      <w:divsChild>
        <w:div w:id="1755784025">
          <w:marLeft w:val="547"/>
          <w:marRight w:val="0"/>
          <w:marTop w:val="0"/>
          <w:marBottom w:val="120"/>
          <w:divBdr>
            <w:top w:val="none" w:sz="0" w:space="0" w:color="auto"/>
            <w:left w:val="none" w:sz="0" w:space="0" w:color="auto"/>
            <w:bottom w:val="none" w:sz="0" w:space="0" w:color="auto"/>
            <w:right w:val="none" w:sz="0" w:space="0" w:color="auto"/>
          </w:divBdr>
        </w:div>
        <w:div w:id="1755784067">
          <w:marLeft w:val="547"/>
          <w:marRight w:val="0"/>
          <w:marTop w:val="0"/>
          <w:marBottom w:val="120"/>
          <w:divBdr>
            <w:top w:val="none" w:sz="0" w:space="0" w:color="auto"/>
            <w:left w:val="none" w:sz="0" w:space="0" w:color="auto"/>
            <w:bottom w:val="none" w:sz="0" w:space="0" w:color="auto"/>
            <w:right w:val="none" w:sz="0" w:space="0" w:color="auto"/>
          </w:divBdr>
        </w:div>
        <w:div w:id="1755784068">
          <w:marLeft w:val="547"/>
          <w:marRight w:val="0"/>
          <w:marTop w:val="0"/>
          <w:marBottom w:val="120"/>
          <w:divBdr>
            <w:top w:val="none" w:sz="0" w:space="0" w:color="auto"/>
            <w:left w:val="none" w:sz="0" w:space="0" w:color="auto"/>
            <w:bottom w:val="none" w:sz="0" w:space="0" w:color="auto"/>
            <w:right w:val="none" w:sz="0" w:space="0" w:color="auto"/>
          </w:divBdr>
        </w:div>
      </w:divsChild>
    </w:div>
    <w:div w:id="1755784026">
      <w:marLeft w:val="0"/>
      <w:marRight w:val="0"/>
      <w:marTop w:val="0"/>
      <w:marBottom w:val="0"/>
      <w:divBdr>
        <w:top w:val="none" w:sz="0" w:space="0" w:color="auto"/>
        <w:left w:val="none" w:sz="0" w:space="0" w:color="auto"/>
        <w:bottom w:val="none" w:sz="0" w:space="0" w:color="auto"/>
        <w:right w:val="none" w:sz="0" w:space="0" w:color="auto"/>
      </w:divBdr>
    </w:div>
    <w:div w:id="1755784027">
      <w:marLeft w:val="0"/>
      <w:marRight w:val="0"/>
      <w:marTop w:val="0"/>
      <w:marBottom w:val="0"/>
      <w:divBdr>
        <w:top w:val="none" w:sz="0" w:space="0" w:color="auto"/>
        <w:left w:val="none" w:sz="0" w:space="0" w:color="auto"/>
        <w:bottom w:val="none" w:sz="0" w:space="0" w:color="auto"/>
        <w:right w:val="none" w:sz="0" w:space="0" w:color="auto"/>
      </w:divBdr>
    </w:div>
    <w:div w:id="1755784028">
      <w:marLeft w:val="0"/>
      <w:marRight w:val="0"/>
      <w:marTop w:val="0"/>
      <w:marBottom w:val="0"/>
      <w:divBdr>
        <w:top w:val="none" w:sz="0" w:space="0" w:color="auto"/>
        <w:left w:val="none" w:sz="0" w:space="0" w:color="auto"/>
        <w:bottom w:val="none" w:sz="0" w:space="0" w:color="auto"/>
        <w:right w:val="none" w:sz="0" w:space="0" w:color="auto"/>
      </w:divBdr>
    </w:div>
    <w:div w:id="1755784030">
      <w:marLeft w:val="0"/>
      <w:marRight w:val="0"/>
      <w:marTop w:val="0"/>
      <w:marBottom w:val="0"/>
      <w:divBdr>
        <w:top w:val="none" w:sz="0" w:space="0" w:color="auto"/>
        <w:left w:val="none" w:sz="0" w:space="0" w:color="auto"/>
        <w:bottom w:val="none" w:sz="0" w:space="0" w:color="auto"/>
        <w:right w:val="none" w:sz="0" w:space="0" w:color="auto"/>
      </w:divBdr>
    </w:div>
    <w:div w:id="1755784031">
      <w:marLeft w:val="0"/>
      <w:marRight w:val="0"/>
      <w:marTop w:val="0"/>
      <w:marBottom w:val="0"/>
      <w:divBdr>
        <w:top w:val="none" w:sz="0" w:space="0" w:color="auto"/>
        <w:left w:val="none" w:sz="0" w:space="0" w:color="auto"/>
        <w:bottom w:val="none" w:sz="0" w:space="0" w:color="auto"/>
        <w:right w:val="none" w:sz="0" w:space="0" w:color="auto"/>
      </w:divBdr>
    </w:div>
    <w:div w:id="1755784036">
      <w:marLeft w:val="0"/>
      <w:marRight w:val="0"/>
      <w:marTop w:val="0"/>
      <w:marBottom w:val="0"/>
      <w:divBdr>
        <w:top w:val="none" w:sz="0" w:space="0" w:color="auto"/>
        <w:left w:val="none" w:sz="0" w:space="0" w:color="auto"/>
        <w:bottom w:val="none" w:sz="0" w:space="0" w:color="auto"/>
        <w:right w:val="none" w:sz="0" w:space="0" w:color="auto"/>
      </w:divBdr>
      <w:divsChild>
        <w:div w:id="1755784035">
          <w:marLeft w:val="547"/>
          <w:marRight w:val="0"/>
          <w:marTop w:val="0"/>
          <w:marBottom w:val="120"/>
          <w:divBdr>
            <w:top w:val="none" w:sz="0" w:space="0" w:color="auto"/>
            <w:left w:val="none" w:sz="0" w:space="0" w:color="auto"/>
            <w:bottom w:val="none" w:sz="0" w:space="0" w:color="auto"/>
            <w:right w:val="none" w:sz="0" w:space="0" w:color="auto"/>
          </w:divBdr>
        </w:div>
        <w:div w:id="1755784059">
          <w:marLeft w:val="547"/>
          <w:marRight w:val="0"/>
          <w:marTop w:val="0"/>
          <w:marBottom w:val="120"/>
          <w:divBdr>
            <w:top w:val="none" w:sz="0" w:space="0" w:color="auto"/>
            <w:left w:val="none" w:sz="0" w:space="0" w:color="auto"/>
            <w:bottom w:val="none" w:sz="0" w:space="0" w:color="auto"/>
            <w:right w:val="none" w:sz="0" w:space="0" w:color="auto"/>
          </w:divBdr>
        </w:div>
        <w:div w:id="1755784060">
          <w:marLeft w:val="533"/>
          <w:marRight w:val="0"/>
          <w:marTop w:val="120"/>
          <w:marBottom w:val="120"/>
          <w:divBdr>
            <w:top w:val="none" w:sz="0" w:space="0" w:color="auto"/>
            <w:left w:val="none" w:sz="0" w:space="0" w:color="auto"/>
            <w:bottom w:val="none" w:sz="0" w:space="0" w:color="auto"/>
            <w:right w:val="none" w:sz="0" w:space="0" w:color="auto"/>
          </w:divBdr>
        </w:div>
        <w:div w:id="1755784081">
          <w:marLeft w:val="533"/>
          <w:marRight w:val="0"/>
          <w:marTop w:val="0"/>
          <w:marBottom w:val="120"/>
          <w:divBdr>
            <w:top w:val="none" w:sz="0" w:space="0" w:color="auto"/>
            <w:left w:val="none" w:sz="0" w:space="0" w:color="auto"/>
            <w:bottom w:val="none" w:sz="0" w:space="0" w:color="auto"/>
            <w:right w:val="none" w:sz="0" w:space="0" w:color="auto"/>
          </w:divBdr>
        </w:div>
        <w:div w:id="1755784090">
          <w:marLeft w:val="547"/>
          <w:marRight w:val="0"/>
          <w:marTop w:val="0"/>
          <w:marBottom w:val="120"/>
          <w:divBdr>
            <w:top w:val="none" w:sz="0" w:space="0" w:color="auto"/>
            <w:left w:val="none" w:sz="0" w:space="0" w:color="auto"/>
            <w:bottom w:val="none" w:sz="0" w:space="0" w:color="auto"/>
            <w:right w:val="none" w:sz="0" w:space="0" w:color="auto"/>
          </w:divBdr>
        </w:div>
      </w:divsChild>
    </w:div>
    <w:div w:id="1755784038">
      <w:marLeft w:val="0"/>
      <w:marRight w:val="0"/>
      <w:marTop w:val="0"/>
      <w:marBottom w:val="0"/>
      <w:divBdr>
        <w:top w:val="none" w:sz="0" w:space="0" w:color="auto"/>
        <w:left w:val="none" w:sz="0" w:space="0" w:color="auto"/>
        <w:bottom w:val="none" w:sz="0" w:space="0" w:color="auto"/>
        <w:right w:val="none" w:sz="0" w:space="0" w:color="auto"/>
      </w:divBdr>
    </w:div>
    <w:div w:id="1755784039">
      <w:marLeft w:val="0"/>
      <w:marRight w:val="0"/>
      <w:marTop w:val="0"/>
      <w:marBottom w:val="0"/>
      <w:divBdr>
        <w:top w:val="none" w:sz="0" w:space="0" w:color="auto"/>
        <w:left w:val="none" w:sz="0" w:space="0" w:color="auto"/>
        <w:bottom w:val="none" w:sz="0" w:space="0" w:color="auto"/>
        <w:right w:val="none" w:sz="0" w:space="0" w:color="auto"/>
      </w:divBdr>
    </w:div>
    <w:div w:id="1755784040">
      <w:marLeft w:val="0"/>
      <w:marRight w:val="0"/>
      <w:marTop w:val="0"/>
      <w:marBottom w:val="0"/>
      <w:divBdr>
        <w:top w:val="none" w:sz="0" w:space="0" w:color="auto"/>
        <w:left w:val="none" w:sz="0" w:space="0" w:color="auto"/>
        <w:bottom w:val="none" w:sz="0" w:space="0" w:color="auto"/>
        <w:right w:val="none" w:sz="0" w:space="0" w:color="auto"/>
      </w:divBdr>
    </w:div>
    <w:div w:id="1755784042">
      <w:marLeft w:val="0"/>
      <w:marRight w:val="0"/>
      <w:marTop w:val="0"/>
      <w:marBottom w:val="0"/>
      <w:divBdr>
        <w:top w:val="none" w:sz="0" w:space="0" w:color="auto"/>
        <w:left w:val="none" w:sz="0" w:space="0" w:color="auto"/>
        <w:bottom w:val="none" w:sz="0" w:space="0" w:color="auto"/>
        <w:right w:val="none" w:sz="0" w:space="0" w:color="auto"/>
      </w:divBdr>
    </w:div>
    <w:div w:id="1755784044">
      <w:marLeft w:val="0"/>
      <w:marRight w:val="0"/>
      <w:marTop w:val="0"/>
      <w:marBottom w:val="0"/>
      <w:divBdr>
        <w:top w:val="none" w:sz="0" w:space="0" w:color="auto"/>
        <w:left w:val="none" w:sz="0" w:space="0" w:color="auto"/>
        <w:bottom w:val="none" w:sz="0" w:space="0" w:color="auto"/>
        <w:right w:val="none" w:sz="0" w:space="0" w:color="auto"/>
      </w:divBdr>
    </w:div>
    <w:div w:id="1755784045">
      <w:marLeft w:val="0"/>
      <w:marRight w:val="0"/>
      <w:marTop w:val="0"/>
      <w:marBottom w:val="0"/>
      <w:divBdr>
        <w:top w:val="none" w:sz="0" w:space="0" w:color="auto"/>
        <w:left w:val="none" w:sz="0" w:space="0" w:color="auto"/>
        <w:bottom w:val="none" w:sz="0" w:space="0" w:color="auto"/>
        <w:right w:val="none" w:sz="0" w:space="0" w:color="auto"/>
      </w:divBdr>
    </w:div>
    <w:div w:id="1755784047">
      <w:marLeft w:val="0"/>
      <w:marRight w:val="0"/>
      <w:marTop w:val="0"/>
      <w:marBottom w:val="0"/>
      <w:divBdr>
        <w:top w:val="none" w:sz="0" w:space="0" w:color="auto"/>
        <w:left w:val="none" w:sz="0" w:space="0" w:color="auto"/>
        <w:bottom w:val="none" w:sz="0" w:space="0" w:color="auto"/>
        <w:right w:val="none" w:sz="0" w:space="0" w:color="auto"/>
      </w:divBdr>
    </w:div>
    <w:div w:id="1755784048">
      <w:marLeft w:val="0"/>
      <w:marRight w:val="0"/>
      <w:marTop w:val="0"/>
      <w:marBottom w:val="0"/>
      <w:divBdr>
        <w:top w:val="none" w:sz="0" w:space="0" w:color="auto"/>
        <w:left w:val="none" w:sz="0" w:space="0" w:color="auto"/>
        <w:bottom w:val="none" w:sz="0" w:space="0" w:color="auto"/>
        <w:right w:val="none" w:sz="0" w:space="0" w:color="auto"/>
      </w:divBdr>
      <w:divsChild>
        <w:div w:id="1755784066">
          <w:marLeft w:val="547"/>
          <w:marRight w:val="0"/>
          <w:marTop w:val="0"/>
          <w:marBottom w:val="0"/>
          <w:divBdr>
            <w:top w:val="none" w:sz="0" w:space="0" w:color="auto"/>
            <w:left w:val="none" w:sz="0" w:space="0" w:color="auto"/>
            <w:bottom w:val="none" w:sz="0" w:space="0" w:color="auto"/>
            <w:right w:val="none" w:sz="0" w:space="0" w:color="auto"/>
          </w:divBdr>
        </w:div>
      </w:divsChild>
    </w:div>
    <w:div w:id="1755784049">
      <w:marLeft w:val="0"/>
      <w:marRight w:val="0"/>
      <w:marTop w:val="0"/>
      <w:marBottom w:val="0"/>
      <w:divBdr>
        <w:top w:val="none" w:sz="0" w:space="0" w:color="auto"/>
        <w:left w:val="none" w:sz="0" w:space="0" w:color="auto"/>
        <w:bottom w:val="none" w:sz="0" w:space="0" w:color="auto"/>
        <w:right w:val="none" w:sz="0" w:space="0" w:color="auto"/>
      </w:divBdr>
      <w:divsChild>
        <w:div w:id="1755784075">
          <w:marLeft w:val="0"/>
          <w:marRight w:val="0"/>
          <w:marTop w:val="0"/>
          <w:marBottom w:val="0"/>
          <w:divBdr>
            <w:top w:val="none" w:sz="0" w:space="0" w:color="auto"/>
            <w:left w:val="none" w:sz="0" w:space="0" w:color="auto"/>
            <w:bottom w:val="none" w:sz="0" w:space="0" w:color="auto"/>
            <w:right w:val="none" w:sz="0" w:space="0" w:color="auto"/>
          </w:divBdr>
          <w:divsChild>
            <w:div w:id="1755784077">
              <w:marLeft w:val="0"/>
              <w:marRight w:val="0"/>
              <w:marTop w:val="0"/>
              <w:marBottom w:val="0"/>
              <w:divBdr>
                <w:top w:val="none" w:sz="0" w:space="0" w:color="auto"/>
                <w:left w:val="none" w:sz="0" w:space="0" w:color="auto"/>
                <w:bottom w:val="none" w:sz="0" w:space="0" w:color="auto"/>
                <w:right w:val="none" w:sz="0" w:space="0" w:color="auto"/>
              </w:divBdr>
              <w:divsChild>
                <w:div w:id="1755784032">
                  <w:marLeft w:val="0"/>
                  <w:marRight w:val="0"/>
                  <w:marTop w:val="0"/>
                  <w:marBottom w:val="0"/>
                  <w:divBdr>
                    <w:top w:val="none" w:sz="0" w:space="0" w:color="auto"/>
                    <w:left w:val="none" w:sz="0" w:space="0" w:color="auto"/>
                    <w:bottom w:val="none" w:sz="0" w:space="0" w:color="auto"/>
                    <w:right w:val="none" w:sz="0" w:space="0" w:color="auto"/>
                  </w:divBdr>
                  <w:divsChild>
                    <w:div w:id="1755784092">
                      <w:marLeft w:val="0"/>
                      <w:marRight w:val="0"/>
                      <w:marTop w:val="0"/>
                      <w:marBottom w:val="0"/>
                      <w:divBdr>
                        <w:top w:val="none" w:sz="0" w:space="0" w:color="auto"/>
                        <w:left w:val="none" w:sz="0" w:space="0" w:color="auto"/>
                        <w:bottom w:val="none" w:sz="0" w:space="0" w:color="auto"/>
                        <w:right w:val="none" w:sz="0" w:space="0" w:color="auto"/>
                      </w:divBdr>
                      <w:divsChild>
                        <w:div w:id="17557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784053">
      <w:marLeft w:val="0"/>
      <w:marRight w:val="0"/>
      <w:marTop w:val="0"/>
      <w:marBottom w:val="0"/>
      <w:divBdr>
        <w:top w:val="none" w:sz="0" w:space="0" w:color="auto"/>
        <w:left w:val="none" w:sz="0" w:space="0" w:color="auto"/>
        <w:bottom w:val="none" w:sz="0" w:space="0" w:color="auto"/>
        <w:right w:val="none" w:sz="0" w:space="0" w:color="auto"/>
      </w:divBdr>
    </w:div>
    <w:div w:id="1755784054">
      <w:marLeft w:val="0"/>
      <w:marRight w:val="0"/>
      <w:marTop w:val="0"/>
      <w:marBottom w:val="0"/>
      <w:divBdr>
        <w:top w:val="none" w:sz="0" w:space="0" w:color="auto"/>
        <w:left w:val="none" w:sz="0" w:space="0" w:color="auto"/>
        <w:bottom w:val="none" w:sz="0" w:space="0" w:color="auto"/>
        <w:right w:val="none" w:sz="0" w:space="0" w:color="auto"/>
      </w:divBdr>
      <w:divsChild>
        <w:div w:id="1755783999">
          <w:marLeft w:val="562"/>
          <w:marRight w:val="0"/>
          <w:marTop w:val="0"/>
          <w:marBottom w:val="120"/>
          <w:divBdr>
            <w:top w:val="none" w:sz="0" w:space="0" w:color="auto"/>
            <w:left w:val="none" w:sz="0" w:space="0" w:color="auto"/>
            <w:bottom w:val="none" w:sz="0" w:space="0" w:color="auto"/>
            <w:right w:val="none" w:sz="0" w:space="0" w:color="auto"/>
          </w:divBdr>
        </w:div>
      </w:divsChild>
    </w:div>
    <w:div w:id="1755784055">
      <w:marLeft w:val="0"/>
      <w:marRight w:val="0"/>
      <w:marTop w:val="0"/>
      <w:marBottom w:val="0"/>
      <w:divBdr>
        <w:top w:val="none" w:sz="0" w:space="0" w:color="auto"/>
        <w:left w:val="none" w:sz="0" w:space="0" w:color="auto"/>
        <w:bottom w:val="none" w:sz="0" w:space="0" w:color="auto"/>
        <w:right w:val="none" w:sz="0" w:space="0" w:color="auto"/>
      </w:divBdr>
    </w:div>
    <w:div w:id="1755784056">
      <w:marLeft w:val="0"/>
      <w:marRight w:val="0"/>
      <w:marTop w:val="0"/>
      <w:marBottom w:val="0"/>
      <w:divBdr>
        <w:top w:val="none" w:sz="0" w:space="0" w:color="auto"/>
        <w:left w:val="none" w:sz="0" w:space="0" w:color="auto"/>
        <w:bottom w:val="none" w:sz="0" w:space="0" w:color="auto"/>
        <w:right w:val="none" w:sz="0" w:space="0" w:color="auto"/>
      </w:divBdr>
    </w:div>
    <w:div w:id="1755784057">
      <w:marLeft w:val="0"/>
      <w:marRight w:val="0"/>
      <w:marTop w:val="0"/>
      <w:marBottom w:val="0"/>
      <w:divBdr>
        <w:top w:val="none" w:sz="0" w:space="0" w:color="auto"/>
        <w:left w:val="none" w:sz="0" w:space="0" w:color="auto"/>
        <w:bottom w:val="none" w:sz="0" w:space="0" w:color="auto"/>
        <w:right w:val="none" w:sz="0" w:space="0" w:color="auto"/>
      </w:divBdr>
    </w:div>
    <w:div w:id="1755784061">
      <w:marLeft w:val="0"/>
      <w:marRight w:val="0"/>
      <w:marTop w:val="0"/>
      <w:marBottom w:val="0"/>
      <w:divBdr>
        <w:top w:val="none" w:sz="0" w:space="0" w:color="auto"/>
        <w:left w:val="none" w:sz="0" w:space="0" w:color="auto"/>
        <w:bottom w:val="none" w:sz="0" w:space="0" w:color="auto"/>
        <w:right w:val="none" w:sz="0" w:space="0" w:color="auto"/>
      </w:divBdr>
      <w:divsChild>
        <w:div w:id="1755784046">
          <w:marLeft w:val="0"/>
          <w:marRight w:val="0"/>
          <w:marTop w:val="0"/>
          <w:marBottom w:val="0"/>
          <w:divBdr>
            <w:top w:val="none" w:sz="0" w:space="0" w:color="auto"/>
            <w:left w:val="none" w:sz="0" w:space="0" w:color="auto"/>
            <w:bottom w:val="none" w:sz="0" w:space="0" w:color="auto"/>
            <w:right w:val="none" w:sz="0" w:space="0" w:color="auto"/>
          </w:divBdr>
          <w:divsChild>
            <w:div w:id="1755784034">
              <w:marLeft w:val="0"/>
              <w:marRight w:val="120"/>
              <w:marTop w:val="0"/>
              <w:marBottom w:val="0"/>
              <w:divBdr>
                <w:top w:val="none" w:sz="0" w:space="0" w:color="auto"/>
                <w:left w:val="none" w:sz="0" w:space="0" w:color="auto"/>
                <w:bottom w:val="none" w:sz="0" w:space="0" w:color="auto"/>
                <w:right w:val="none" w:sz="0" w:space="0" w:color="auto"/>
              </w:divBdr>
              <w:divsChild>
                <w:div w:id="1755784073">
                  <w:marLeft w:val="0"/>
                  <w:marRight w:val="0"/>
                  <w:marTop w:val="0"/>
                  <w:marBottom w:val="0"/>
                  <w:divBdr>
                    <w:top w:val="none" w:sz="0" w:space="0" w:color="auto"/>
                    <w:left w:val="none" w:sz="0" w:space="0" w:color="auto"/>
                    <w:bottom w:val="none" w:sz="0" w:space="0" w:color="auto"/>
                    <w:right w:val="none" w:sz="0" w:space="0" w:color="auto"/>
                  </w:divBdr>
                  <w:divsChild>
                    <w:div w:id="1755784082">
                      <w:marLeft w:val="0"/>
                      <w:marRight w:val="0"/>
                      <w:marTop w:val="0"/>
                      <w:marBottom w:val="0"/>
                      <w:divBdr>
                        <w:top w:val="none" w:sz="0" w:space="0" w:color="auto"/>
                        <w:left w:val="none" w:sz="0" w:space="0" w:color="auto"/>
                        <w:bottom w:val="none" w:sz="0" w:space="0" w:color="auto"/>
                        <w:right w:val="none" w:sz="0" w:space="0" w:color="auto"/>
                      </w:divBdr>
                      <w:divsChild>
                        <w:div w:id="17557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784062">
      <w:marLeft w:val="0"/>
      <w:marRight w:val="0"/>
      <w:marTop w:val="0"/>
      <w:marBottom w:val="0"/>
      <w:divBdr>
        <w:top w:val="none" w:sz="0" w:space="0" w:color="auto"/>
        <w:left w:val="none" w:sz="0" w:space="0" w:color="auto"/>
        <w:bottom w:val="none" w:sz="0" w:space="0" w:color="auto"/>
        <w:right w:val="none" w:sz="0" w:space="0" w:color="auto"/>
      </w:divBdr>
    </w:div>
    <w:div w:id="1755784063">
      <w:marLeft w:val="0"/>
      <w:marRight w:val="0"/>
      <w:marTop w:val="0"/>
      <w:marBottom w:val="0"/>
      <w:divBdr>
        <w:top w:val="none" w:sz="0" w:space="0" w:color="auto"/>
        <w:left w:val="none" w:sz="0" w:space="0" w:color="auto"/>
        <w:bottom w:val="none" w:sz="0" w:space="0" w:color="auto"/>
        <w:right w:val="none" w:sz="0" w:space="0" w:color="auto"/>
      </w:divBdr>
    </w:div>
    <w:div w:id="1755784064">
      <w:marLeft w:val="0"/>
      <w:marRight w:val="0"/>
      <w:marTop w:val="0"/>
      <w:marBottom w:val="0"/>
      <w:divBdr>
        <w:top w:val="none" w:sz="0" w:space="0" w:color="auto"/>
        <w:left w:val="none" w:sz="0" w:space="0" w:color="auto"/>
        <w:bottom w:val="none" w:sz="0" w:space="0" w:color="auto"/>
        <w:right w:val="none" w:sz="0" w:space="0" w:color="auto"/>
      </w:divBdr>
    </w:div>
    <w:div w:id="1755784070">
      <w:marLeft w:val="0"/>
      <w:marRight w:val="0"/>
      <w:marTop w:val="0"/>
      <w:marBottom w:val="0"/>
      <w:divBdr>
        <w:top w:val="none" w:sz="0" w:space="0" w:color="auto"/>
        <w:left w:val="none" w:sz="0" w:space="0" w:color="auto"/>
        <w:bottom w:val="none" w:sz="0" w:space="0" w:color="auto"/>
        <w:right w:val="none" w:sz="0" w:space="0" w:color="auto"/>
      </w:divBdr>
    </w:div>
    <w:div w:id="1755784071">
      <w:marLeft w:val="0"/>
      <w:marRight w:val="0"/>
      <w:marTop w:val="0"/>
      <w:marBottom w:val="0"/>
      <w:divBdr>
        <w:top w:val="none" w:sz="0" w:space="0" w:color="auto"/>
        <w:left w:val="none" w:sz="0" w:space="0" w:color="auto"/>
        <w:bottom w:val="none" w:sz="0" w:space="0" w:color="auto"/>
        <w:right w:val="none" w:sz="0" w:space="0" w:color="auto"/>
      </w:divBdr>
      <w:divsChild>
        <w:div w:id="1755784051">
          <w:marLeft w:val="547"/>
          <w:marRight w:val="0"/>
          <w:marTop w:val="0"/>
          <w:marBottom w:val="0"/>
          <w:divBdr>
            <w:top w:val="none" w:sz="0" w:space="0" w:color="auto"/>
            <w:left w:val="none" w:sz="0" w:space="0" w:color="auto"/>
            <w:bottom w:val="none" w:sz="0" w:space="0" w:color="auto"/>
            <w:right w:val="none" w:sz="0" w:space="0" w:color="auto"/>
          </w:divBdr>
        </w:div>
      </w:divsChild>
    </w:div>
    <w:div w:id="1755784072">
      <w:marLeft w:val="0"/>
      <w:marRight w:val="0"/>
      <w:marTop w:val="0"/>
      <w:marBottom w:val="0"/>
      <w:divBdr>
        <w:top w:val="none" w:sz="0" w:space="0" w:color="auto"/>
        <w:left w:val="none" w:sz="0" w:space="0" w:color="auto"/>
        <w:bottom w:val="none" w:sz="0" w:space="0" w:color="auto"/>
        <w:right w:val="none" w:sz="0" w:space="0" w:color="auto"/>
      </w:divBdr>
      <w:divsChild>
        <w:div w:id="1755784024">
          <w:marLeft w:val="0"/>
          <w:marRight w:val="0"/>
          <w:marTop w:val="0"/>
          <w:marBottom w:val="0"/>
          <w:divBdr>
            <w:top w:val="none" w:sz="0" w:space="0" w:color="auto"/>
            <w:left w:val="none" w:sz="0" w:space="0" w:color="auto"/>
            <w:bottom w:val="none" w:sz="0" w:space="0" w:color="auto"/>
            <w:right w:val="none" w:sz="0" w:space="0" w:color="auto"/>
          </w:divBdr>
        </w:div>
      </w:divsChild>
    </w:div>
    <w:div w:id="1755784076">
      <w:marLeft w:val="0"/>
      <w:marRight w:val="0"/>
      <w:marTop w:val="0"/>
      <w:marBottom w:val="0"/>
      <w:divBdr>
        <w:top w:val="none" w:sz="0" w:space="0" w:color="auto"/>
        <w:left w:val="none" w:sz="0" w:space="0" w:color="auto"/>
        <w:bottom w:val="none" w:sz="0" w:space="0" w:color="auto"/>
        <w:right w:val="none" w:sz="0" w:space="0" w:color="auto"/>
      </w:divBdr>
      <w:divsChild>
        <w:div w:id="1755784084">
          <w:marLeft w:val="446"/>
          <w:marRight w:val="0"/>
          <w:marTop w:val="120"/>
          <w:marBottom w:val="0"/>
          <w:divBdr>
            <w:top w:val="none" w:sz="0" w:space="0" w:color="auto"/>
            <w:left w:val="none" w:sz="0" w:space="0" w:color="auto"/>
            <w:bottom w:val="none" w:sz="0" w:space="0" w:color="auto"/>
            <w:right w:val="none" w:sz="0" w:space="0" w:color="auto"/>
          </w:divBdr>
        </w:div>
      </w:divsChild>
    </w:div>
    <w:div w:id="1755784080">
      <w:marLeft w:val="0"/>
      <w:marRight w:val="0"/>
      <w:marTop w:val="0"/>
      <w:marBottom w:val="0"/>
      <w:divBdr>
        <w:top w:val="none" w:sz="0" w:space="0" w:color="auto"/>
        <w:left w:val="none" w:sz="0" w:space="0" w:color="auto"/>
        <w:bottom w:val="none" w:sz="0" w:space="0" w:color="auto"/>
        <w:right w:val="none" w:sz="0" w:space="0" w:color="auto"/>
      </w:divBdr>
    </w:div>
    <w:div w:id="1755784083">
      <w:marLeft w:val="0"/>
      <w:marRight w:val="0"/>
      <w:marTop w:val="0"/>
      <w:marBottom w:val="0"/>
      <w:divBdr>
        <w:top w:val="none" w:sz="0" w:space="0" w:color="auto"/>
        <w:left w:val="none" w:sz="0" w:space="0" w:color="auto"/>
        <w:bottom w:val="none" w:sz="0" w:space="0" w:color="auto"/>
        <w:right w:val="none" w:sz="0" w:space="0" w:color="auto"/>
      </w:divBdr>
    </w:div>
    <w:div w:id="1755784085">
      <w:marLeft w:val="0"/>
      <w:marRight w:val="0"/>
      <w:marTop w:val="0"/>
      <w:marBottom w:val="0"/>
      <w:divBdr>
        <w:top w:val="none" w:sz="0" w:space="0" w:color="auto"/>
        <w:left w:val="none" w:sz="0" w:space="0" w:color="auto"/>
        <w:bottom w:val="none" w:sz="0" w:space="0" w:color="auto"/>
        <w:right w:val="none" w:sz="0" w:space="0" w:color="auto"/>
      </w:divBdr>
      <w:divsChild>
        <w:div w:id="1755784052">
          <w:marLeft w:val="446"/>
          <w:marRight w:val="0"/>
          <w:marTop w:val="0"/>
          <w:marBottom w:val="0"/>
          <w:divBdr>
            <w:top w:val="none" w:sz="0" w:space="0" w:color="auto"/>
            <w:left w:val="none" w:sz="0" w:space="0" w:color="auto"/>
            <w:bottom w:val="none" w:sz="0" w:space="0" w:color="auto"/>
            <w:right w:val="none" w:sz="0" w:space="0" w:color="auto"/>
          </w:divBdr>
        </w:div>
      </w:divsChild>
    </w:div>
    <w:div w:id="1755784086">
      <w:marLeft w:val="0"/>
      <w:marRight w:val="0"/>
      <w:marTop w:val="0"/>
      <w:marBottom w:val="0"/>
      <w:divBdr>
        <w:top w:val="none" w:sz="0" w:space="0" w:color="auto"/>
        <w:left w:val="none" w:sz="0" w:space="0" w:color="auto"/>
        <w:bottom w:val="none" w:sz="0" w:space="0" w:color="auto"/>
        <w:right w:val="none" w:sz="0" w:space="0" w:color="auto"/>
      </w:divBdr>
    </w:div>
    <w:div w:id="1755784087">
      <w:marLeft w:val="0"/>
      <w:marRight w:val="0"/>
      <w:marTop w:val="0"/>
      <w:marBottom w:val="0"/>
      <w:divBdr>
        <w:top w:val="none" w:sz="0" w:space="0" w:color="auto"/>
        <w:left w:val="none" w:sz="0" w:space="0" w:color="auto"/>
        <w:bottom w:val="none" w:sz="0" w:space="0" w:color="auto"/>
        <w:right w:val="none" w:sz="0" w:space="0" w:color="auto"/>
      </w:divBdr>
    </w:div>
    <w:div w:id="1755784088">
      <w:marLeft w:val="0"/>
      <w:marRight w:val="0"/>
      <w:marTop w:val="0"/>
      <w:marBottom w:val="0"/>
      <w:divBdr>
        <w:top w:val="none" w:sz="0" w:space="0" w:color="auto"/>
        <w:left w:val="none" w:sz="0" w:space="0" w:color="auto"/>
        <w:bottom w:val="none" w:sz="0" w:space="0" w:color="auto"/>
        <w:right w:val="none" w:sz="0" w:space="0" w:color="auto"/>
      </w:divBdr>
    </w:div>
    <w:div w:id="1755784089">
      <w:marLeft w:val="0"/>
      <w:marRight w:val="0"/>
      <w:marTop w:val="0"/>
      <w:marBottom w:val="0"/>
      <w:divBdr>
        <w:top w:val="none" w:sz="0" w:space="0" w:color="auto"/>
        <w:left w:val="none" w:sz="0" w:space="0" w:color="auto"/>
        <w:bottom w:val="none" w:sz="0" w:space="0" w:color="auto"/>
        <w:right w:val="none" w:sz="0" w:space="0" w:color="auto"/>
      </w:divBdr>
    </w:div>
    <w:div w:id="1755784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451</TotalTime>
  <Pages>15</Pages>
  <Words>1453</Words>
  <Characters>8287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赵银洲</cp:lastModifiedBy>
  <cp:revision>184</cp:revision>
  <dcterms:created xsi:type="dcterms:W3CDTF">2016-03-10T03:49:00Z</dcterms:created>
  <dcterms:modified xsi:type="dcterms:W3CDTF">2016-03-17T01:20:00Z</dcterms:modified>
</cp:coreProperties>
</file>