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napToGrid w:val="0"/>
        <w:spacing w:line="560" w:lineRule="atLeast"/>
        <w:jc w:val="center"/>
        <w:rPr>
          <w:rFonts w:hint="eastAsia" w:ascii="黑体" w:hAnsi="宋体" w:eastAsia="黑体" w:cs="宋体"/>
          <w:kern w:val="0"/>
          <w:sz w:val="44"/>
          <w:szCs w:val="44"/>
        </w:rPr>
      </w:pPr>
    </w:p>
    <w:p>
      <w:pPr>
        <w:widowControl/>
        <w:snapToGrid w:val="0"/>
        <w:spacing w:line="560" w:lineRule="atLeast"/>
        <w:jc w:val="center"/>
        <w:rPr>
          <w:rFonts w:hint="eastAsia" w:ascii="黑体" w:hAnsi="宋体" w:eastAsia="黑体" w:cs="宋体"/>
          <w:kern w:val="0"/>
          <w:sz w:val="36"/>
          <w:szCs w:val="36"/>
        </w:rPr>
      </w:pPr>
    </w:p>
    <w:p>
      <w:pPr>
        <w:widowControl/>
        <w:snapToGrid w:val="0"/>
        <w:spacing w:line="560" w:lineRule="atLeast"/>
        <w:jc w:val="center"/>
        <w:rPr>
          <w:rFonts w:hint="eastAsia"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关于上海市教育系统工会理论研究会</w:t>
      </w:r>
    </w:p>
    <w:p>
      <w:pPr>
        <w:widowControl/>
        <w:snapToGrid w:val="0"/>
        <w:spacing w:line="560" w:lineRule="atLeast"/>
        <w:jc w:val="center"/>
        <w:rPr>
          <w:rFonts w:hint="eastAsia"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201</w:t>
      </w:r>
      <w:r>
        <w:rPr>
          <w:rFonts w:hint="eastAsia" w:ascii="仿宋_GB2312" w:hAnsi="仿宋_GB2312" w:eastAsia="仿宋_GB2312" w:cs="仿宋_GB2312"/>
          <w:b/>
          <w:bCs/>
          <w:kern w:val="0"/>
          <w:sz w:val="36"/>
          <w:szCs w:val="36"/>
          <w:lang w:val="en-US" w:eastAsia="zh-CN"/>
        </w:rPr>
        <w:t>5</w:t>
      </w:r>
      <w:r>
        <w:rPr>
          <w:rFonts w:hint="eastAsia" w:ascii="仿宋_GB2312" w:hAnsi="仿宋_GB2312" w:eastAsia="仿宋_GB2312" w:cs="仿宋_GB2312"/>
          <w:b/>
          <w:bCs/>
          <w:kern w:val="0"/>
          <w:sz w:val="36"/>
          <w:szCs w:val="36"/>
        </w:rPr>
        <w:t>年</w:t>
      </w:r>
      <w:r>
        <w:rPr>
          <w:rFonts w:hint="eastAsia" w:ascii="仿宋_GB2312" w:hAnsi="仿宋_GB2312" w:eastAsia="仿宋_GB2312" w:cs="仿宋_GB2312"/>
          <w:b/>
          <w:bCs/>
          <w:kern w:val="0"/>
          <w:sz w:val="36"/>
          <w:szCs w:val="36"/>
          <w:lang w:eastAsia="zh-CN"/>
        </w:rPr>
        <w:t>课题评选结果</w:t>
      </w:r>
      <w:r>
        <w:rPr>
          <w:rFonts w:hint="eastAsia" w:ascii="仿宋_GB2312" w:hAnsi="仿宋_GB2312" w:eastAsia="仿宋_GB2312" w:cs="仿宋_GB2312"/>
          <w:b/>
          <w:bCs/>
          <w:kern w:val="0"/>
          <w:sz w:val="36"/>
          <w:szCs w:val="36"/>
        </w:rPr>
        <w:t>的</w:t>
      </w:r>
      <w:r>
        <w:rPr>
          <w:rFonts w:hint="eastAsia" w:ascii="仿宋_GB2312" w:hAnsi="仿宋_GB2312" w:eastAsia="仿宋_GB2312" w:cs="仿宋_GB2312"/>
          <w:b/>
          <w:bCs/>
          <w:kern w:val="0"/>
          <w:sz w:val="36"/>
          <w:szCs w:val="36"/>
          <w:lang w:eastAsia="zh-CN"/>
        </w:rPr>
        <w:t>通报</w:t>
      </w:r>
    </w:p>
    <w:p>
      <w:pPr>
        <w:widowControl/>
        <w:snapToGrid w:val="0"/>
        <w:spacing w:line="560" w:lineRule="atLeast"/>
        <w:jc w:val="left"/>
        <w:rPr>
          <w:rFonts w:ascii="宋体" w:hAnsi="宋体" w:cs="宋体"/>
          <w:kern w:val="0"/>
          <w:szCs w:val="21"/>
        </w:rPr>
      </w:pPr>
      <w:r>
        <w:rPr>
          <w:rFonts w:ascii="宋体" w:hAnsi="宋体" w:cs="宋体"/>
          <w:kern w:val="0"/>
          <w:szCs w:val="21"/>
        </w:rPr>
        <w:t> </w:t>
      </w:r>
    </w:p>
    <w:p>
      <w:pPr>
        <w:spacing w:line="540" w:lineRule="exact"/>
        <w:rPr>
          <w:rFonts w:hint="eastAsia" w:ascii="仿宋" w:hAnsi="仿宋" w:eastAsia="仿宋" w:cs="仿宋"/>
          <w:kern w:val="0"/>
          <w:sz w:val="28"/>
          <w:szCs w:val="28"/>
        </w:rPr>
      </w:pPr>
      <w:r>
        <w:rPr>
          <w:rFonts w:hint="eastAsia" w:ascii="仿宋" w:hAnsi="仿宋" w:eastAsia="仿宋" w:cs="仿宋"/>
          <w:kern w:val="0"/>
          <w:sz w:val="28"/>
          <w:szCs w:val="28"/>
        </w:rPr>
        <w:t>各高校工会、各区县教育工会、各直属工会：</w:t>
      </w:r>
    </w:p>
    <w:p>
      <w:pPr>
        <w:spacing w:line="540" w:lineRule="exac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201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eastAsia="zh-CN"/>
        </w:rPr>
        <w:t>承担</w:t>
      </w:r>
      <w:r>
        <w:rPr>
          <w:rFonts w:hint="eastAsia" w:ascii="仿宋" w:hAnsi="仿宋" w:eastAsia="仿宋" w:cs="仿宋"/>
          <w:kern w:val="0"/>
          <w:sz w:val="28"/>
          <w:szCs w:val="28"/>
        </w:rPr>
        <w:t>上海市教育系统工会理论研究会</w:t>
      </w:r>
      <w:r>
        <w:rPr>
          <w:rFonts w:hint="eastAsia" w:ascii="仿宋" w:hAnsi="仿宋" w:eastAsia="仿宋" w:cs="仿宋"/>
          <w:kern w:val="0"/>
          <w:sz w:val="28"/>
          <w:szCs w:val="28"/>
          <w:lang w:eastAsia="zh-CN"/>
        </w:rPr>
        <w:t>研究</w:t>
      </w:r>
      <w:r>
        <w:rPr>
          <w:rFonts w:hint="eastAsia" w:ascii="仿宋" w:hAnsi="仿宋" w:eastAsia="仿宋" w:cs="仿宋"/>
          <w:kern w:val="0"/>
          <w:sz w:val="28"/>
          <w:szCs w:val="28"/>
        </w:rPr>
        <w:t>课题</w:t>
      </w:r>
      <w:r>
        <w:rPr>
          <w:rFonts w:hint="eastAsia" w:ascii="仿宋" w:hAnsi="仿宋" w:eastAsia="仿宋" w:cs="仿宋"/>
          <w:kern w:val="0"/>
          <w:sz w:val="28"/>
          <w:szCs w:val="28"/>
          <w:lang w:eastAsia="zh-CN"/>
        </w:rPr>
        <w:t>的单位积极开展</w:t>
      </w:r>
      <w:r>
        <w:rPr>
          <w:rFonts w:hint="eastAsia" w:ascii="仿宋" w:hAnsi="仿宋" w:eastAsia="仿宋" w:cs="仿宋"/>
          <w:kern w:val="0"/>
          <w:sz w:val="28"/>
          <w:szCs w:val="28"/>
        </w:rPr>
        <w:t>调查研究，写出了一批有见地、有深度、高质量的论文和调研成果。经过专家</w:t>
      </w:r>
      <w:r>
        <w:rPr>
          <w:rFonts w:hint="eastAsia" w:ascii="仿宋" w:hAnsi="仿宋" w:eastAsia="仿宋" w:cs="仿宋"/>
          <w:kern w:val="0"/>
          <w:sz w:val="28"/>
          <w:szCs w:val="28"/>
          <w:lang w:eastAsia="zh-CN"/>
        </w:rPr>
        <w:t>认真</w:t>
      </w:r>
      <w:r>
        <w:rPr>
          <w:rFonts w:hint="eastAsia" w:ascii="仿宋" w:hAnsi="仿宋" w:eastAsia="仿宋" w:cs="仿宋"/>
          <w:kern w:val="0"/>
          <w:sz w:val="28"/>
          <w:szCs w:val="28"/>
        </w:rPr>
        <w:t>评选，评出</w:t>
      </w:r>
      <w:r>
        <w:rPr>
          <w:rFonts w:hint="eastAsia" w:ascii="仿宋" w:hAnsi="仿宋" w:eastAsia="仿宋" w:cs="仿宋"/>
          <w:kern w:val="0"/>
          <w:sz w:val="28"/>
          <w:szCs w:val="28"/>
          <w:lang w:eastAsia="zh-CN"/>
        </w:rPr>
        <w:t>一等奖</w:t>
      </w:r>
      <w:r>
        <w:rPr>
          <w:rFonts w:hint="eastAsia" w:ascii="仿宋" w:hAnsi="仿宋" w:eastAsia="仿宋" w:cs="仿宋"/>
          <w:kern w:val="0"/>
          <w:sz w:val="28"/>
          <w:szCs w:val="28"/>
          <w:lang w:val="en-US" w:eastAsia="zh-CN"/>
        </w:rPr>
        <w:t>2篇，二等奖5篇，三等奖9篇。</w:t>
      </w:r>
      <w:r>
        <w:rPr>
          <w:rFonts w:hint="eastAsia" w:ascii="仿宋" w:hAnsi="仿宋" w:eastAsia="仿宋" w:cs="仿宋"/>
          <w:kern w:val="0"/>
          <w:sz w:val="28"/>
          <w:szCs w:val="28"/>
        </w:rPr>
        <w:t>市教育工会对</w:t>
      </w:r>
      <w:r>
        <w:rPr>
          <w:rFonts w:hint="eastAsia" w:ascii="仿宋" w:hAnsi="仿宋" w:eastAsia="仿宋" w:cs="仿宋"/>
          <w:kern w:val="0"/>
          <w:sz w:val="28"/>
          <w:szCs w:val="28"/>
          <w:lang w:eastAsia="zh-CN"/>
        </w:rPr>
        <w:t>获奖成果</w:t>
      </w:r>
      <w:r>
        <w:rPr>
          <w:rFonts w:hint="eastAsia" w:ascii="仿宋" w:hAnsi="仿宋" w:eastAsia="仿宋" w:cs="仿宋"/>
          <w:kern w:val="0"/>
          <w:sz w:val="28"/>
          <w:szCs w:val="28"/>
        </w:rPr>
        <w:t>给予通报表彰和奖励，分别发给获奖证书和奖金。</w:t>
      </w:r>
    </w:p>
    <w:p>
      <w:pPr>
        <w:widowControl/>
        <w:spacing w:line="560" w:lineRule="atLeast"/>
        <w:jc w:val="center"/>
        <w:rPr>
          <w:rFonts w:hint="eastAsia" w:ascii="仿宋" w:hAnsi="仿宋" w:eastAsia="仿宋" w:cs="仿宋"/>
          <w:kern w:val="0"/>
          <w:sz w:val="28"/>
          <w:szCs w:val="28"/>
        </w:rPr>
      </w:pPr>
    </w:p>
    <w:p>
      <w:pPr>
        <w:widowControl/>
        <w:spacing w:line="560" w:lineRule="atLeast"/>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附：上海市教育</w:t>
      </w:r>
      <w:r>
        <w:rPr>
          <w:rFonts w:hint="eastAsia" w:ascii="仿宋" w:hAnsi="仿宋" w:eastAsia="仿宋" w:cs="仿宋"/>
          <w:kern w:val="0"/>
          <w:sz w:val="28"/>
          <w:szCs w:val="28"/>
          <w:lang w:eastAsia="zh-CN"/>
        </w:rPr>
        <w:t>系统</w:t>
      </w:r>
      <w:r>
        <w:rPr>
          <w:rFonts w:hint="eastAsia" w:ascii="仿宋" w:hAnsi="仿宋" w:eastAsia="仿宋" w:cs="仿宋"/>
          <w:kern w:val="0"/>
          <w:sz w:val="28"/>
          <w:szCs w:val="28"/>
        </w:rPr>
        <w:t>工会</w:t>
      </w:r>
      <w:r>
        <w:rPr>
          <w:rFonts w:hint="eastAsia" w:ascii="仿宋" w:hAnsi="仿宋" w:eastAsia="仿宋" w:cs="仿宋"/>
          <w:kern w:val="0"/>
          <w:sz w:val="28"/>
          <w:szCs w:val="28"/>
          <w:lang w:eastAsia="zh-CN"/>
        </w:rPr>
        <w:t>理论研究会</w:t>
      </w:r>
      <w:r>
        <w:rPr>
          <w:rFonts w:hint="eastAsia" w:ascii="仿宋" w:hAnsi="仿宋" w:eastAsia="仿宋" w:cs="仿宋"/>
          <w:kern w:val="0"/>
          <w:sz w:val="28"/>
          <w:szCs w:val="28"/>
        </w:rPr>
        <w:t>201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eastAsia="zh-CN"/>
        </w:rPr>
        <w:t>获奖成果名单</w:t>
      </w:r>
    </w:p>
    <w:p>
      <w:pPr>
        <w:widowControl/>
        <w:snapToGrid w:val="0"/>
        <w:spacing w:line="400" w:lineRule="atLeast"/>
        <w:ind w:firstLine="5756" w:firstLineChars="1654"/>
        <w:jc w:val="left"/>
        <w:rPr>
          <w:rFonts w:hint="eastAsia" w:ascii="仿宋" w:hAnsi="仿宋" w:eastAsia="仿宋" w:cs="仿宋"/>
          <w:spacing w:val="14"/>
          <w:kern w:val="0"/>
          <w:sz w:val="32"/>
          <w:szCs w:val="32"/>
        </w:rPr>
      </w:pPr>
    </w:p>
    <w:p>
      <w:pPr>
        <w:widowControl/>
        <w:snapToGrid w:val="0"/>
        <w:spacing w:line="400" w:lineRule="atLeast"/>
        <w:ind w:firstLine="5756" w:firstLineChars="1654"/>
        <w:jc w:val="left"/>
        <w:rPr>
          <w:rFonts w:hint="eastAsia" w:ascii="仿宋" w:hAnsi="仿宋" w:eastAsia="仿宋" w:cs="仿宋"/>
          <w:spacing w:val="14"/>
          <w:kern w:val="0"/>
          <w:sz w:val="32"/>
          <w:szCs w:val="32"/>
        </w:rPr>
      </w:pPr>
    </w:p>
    <w:p>
      <w:pPr>
        <w:widowControl/>
        <w:snapToGrid w:val="0"/>
        <w:spacing w:line="400" w:lineRule="atLeast"/>
        <w:ind w:firstLine="5756" w:firstLineChars="1654"/>
        <w:jc w:val="left"/>
        <w:rPr>
          <w:rFonts w:hint="eastAsia" w:ascii="仿宋" w:hAnsi="仿宋" w:eastAsia="仿宋" w:cs="仿宋"/>
          <w:spacing w:val="14"/>
          <w:kern w:val="0"/>
          <w:sz w:val="28"/>
          <w:szCs w:val="28"/>
        </w:rPr>
      </w:pPr>
    </w:p>
    <w:p>
      <w:pPr>
        <w:widowControl/>
        <w:snapToGrid w:val="0"/>
        <w:spacing w:line="400" w:lineRule="atLeast"/>
        <w:jc w:val="right"/>
        <w:rPr>
          <w:rFonts w:hint="eastAsia" w:ascii="仿宋" w:hAnsi="仿宋" w:eastAsia="仿宋" w:cs="仿宋"/>
          <w:kern w:val="0"/>
          <w:sz w:val="28"/>
          <w:szCs w:val="28"/>
          <w:lang w:val="en-US" w:eastAsia="zh-CN"/>
        </w:rPr>
      </w:pPr>
      <w:r>
        <w:rPr>
          <w:rFonts w:hint="eastAsia" w:ascii="仿宋" w:hAnsi="仿宋" w:eastAsia="仿宋" w:cs="仿宋"/>
          <w:spacing w:val="14"/>
          <w:kern w:val="0"/>
          <w:sz w:val="28"/>
          <w:szCs w:val="28"/>
          <w:lang w:eastAsia="zh-CN"/>
        </w:rPr>
        <w:t>中国教育工会上海市委员会</w:t>
      </w:r>
      <w:r>
        <w:rPr>
          <w:rFonts w:hint="eastAsia" w:ascii="仿宋" w:hAnsi="仿宋" w:eastAsia="仿宋" w:cs="仿宋"/>
          <w:kern w:val="0"/>
          <w:sz w:val="28"/>
          <w:szCs w:val="28"/>
          <w:lang w:val="en-US" w:eastAsia="zh-CN"/>
        </w:rPr>
        <w:t xml:space="preserve">                           </w:t>
      </w:r>
    </w:p>
    <w:p>
      <w:pPr>
        <w:widowControl/>
        <w:snapToGrid w:val="0"/>
        <w:spacing w:line="400" w:lineRule="atLeast"/>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201</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3月16</w:t>
      </w:r>
      <w:r>
        <w:rPr>
          <w:rFonts w:hint="eastAsia" w:ascii="仿宋" w:hAnsi="仿宋" w:eastAsia="仿宋" w:cs="仿宋"/>
          <w:kern w:val="0"/>
          <w:sz w:val="28"/>
          <w:szCs w:val="28"/>
        </w:rPr>
        <w:t>日</w:t>
      </w:r>
    </w:p>
    <w:p>
      <w:pPr>
        <w:widowControl/>
        <w:spacing w:line="480" w:lineRule="auto"/>
        <w:jc w:val="left"/>
        <w:rPr>
          <w:rFonts w:ascii="宋体" w:hAnsi="宋体" w:cs="宋体"/>
          <w:kern w:val="0"/>
          <w:sz w:val="28"/>
          <w:szCs w:val="28"/>
        </w:rPr>
      </w:pPr>
      <w:r>
        <w:rPr>
          <w:rFonts w:ascii="宋体" w:hAnsi="宋体" w:cs="宋体"/>
          <w:kern w:val="0"/>
          <w:sz w:val="28"/>
          <w:szCs w:val="28"/>
        </w:rPr>
        <w:br w:type="textWrapping" w:clear="all"/>
      </w:r>
    </w:p>
    <w:p>
      <w:pPr>
        <w:widowControl/>
        <w:spacing w:line="480" w:lineRule="auto"/>
        <w:jc w:val="left"/>
        <w:rPr>
          <w:rFonts w:ascii="宋体" w:hAnsi="宋体" w:cs="宋体"/>
          <w:kern w:val="0"/>
          <w:sz w:val="28"/>
          <w:szCs w:val="28"/>
        </w:rPr>
      </w:pPr>
    </w:p>
    <w:p>
      <w:pPr>
        <w:widowControl/>
        <w:spacing w:line="480" w:lineRule="auto"/>
        <w:jc w:val="left"/>
        <w:rPr>
          <w:rFonts w:ascii="宋体" w:hAnsi="宋体" w:cs="宋体"/>
          <w:kern w:val="0"/>
          <w:sz w:val="28"/>
          <w:szCs w:val="28"/>
        </w:rPr>
      </w:pPr>
    </w:p>
    <w:p>
      <w:pPr>
        <w:widowControl/>
        <w:spacing w:line="480" w:lineRule="auto"/>
        <w:jc w:val="left"/>
        <w:rPr>
          <w:rFonts w:ascii="宋体" w:hAnsi="宋体" w:cs="宋体"/>
          <w:kern w:val="0"/>
          <w:sz w:val="28"/>
          <w:szCs w:val="28"/>
        </w:rPr>
      </w:pPr>
    </w:p>
    <w:p>
      <w:pPr>
        <w:widowControl/>
        <w:spacing w:line="560" w:lineRule="atLeast"/>
        <w:jc w:val="left"/>
        <w:rPr>
          <w:rFonts w:ascii="宋体" w:hAnsi="宋体" w:cs="宋体"/>
          <w:kern w:val="0"/>
          <w:sz w:val="32"/>
          <w:szCs w:val="32"/>
        </w:rPr>
      </w:pPr>
    </w:p>
    <w:p>
      <w:pPr>
        <w:widowControl/>
        <w:spacing w:line="560" w:lineRule="atLeast"/>
        <w:jc w:val="left"/>
        <w:rPr>
          <w:rFonts w:hint="eastAsia" w:ascii="仿宋_GB2312" w:hAnsi="仿宋_GB2312" w:eastAsia="仿宋_GB2312" w:cs="仿宋_GB2312"/>
          <w:b/>
          <w:bCs/>
          <w:kern w:val="0"/>
          <w:sz w:val="32"/>
          <w:szCs w:val="32"/>
        </w:rPr>
      </w:pPr>
    </w:p>
    <w:p>
      <w:pPr>
        <w:widowControl/>
        <w:spacing w:line="560" w:lineRule="atLeast"/>
        <w:jc w:val="left"/>
        <w:rPr>
          <w:rFonts w:ascii="宋体" w:hAnsi="宋体" w:cs="宋体"/>
          <w:kern w:val="0"/>
          <w:szCs w:val="21"/>
        </w:rPr>
      </w:pPr>
      <w:r>
        <w:rPr>
          <w:rFonts w:hint="eastAsia" w:ascii="仿宋_GB2312" w:hAnsi="仿宋_GB2312" w:eastAsia="仿宋_GB2312" w:cs="仿宋_GB2312"/>
          <w:b/>
          <w:bCs/>
          <w:kern w:val="0"/>
          <w:sz w:val="32"/>
          <w:szCs w:val="32"/>
        </w:rPr>
        <w:t>附</w:t>
      </w:r>
      <w:r>
        <w:rPr>
          <w:rFonts w:hint="eastAsia" w:ascii="仿宋_GB2312" w:hAnsi="仿宋_GB2312" w:eastAsia="仿宋_GB2312" w:cs="仿宋_GB2312"/>
          <w:b/>
          <w:bCs/>
          <w:kern w:val="0"/>
          <w:sz w:val="32"/>
          <w:szCs w:val="32"/>
          <w:lang w:eastAsia="zh-CN"/>
        </w:rPr>
        <w:t>件</w:t>
      </w:r>
      <w:r>
        <w:rPr>
          <w:rFonts w:hint="eastAsia" w:ascii="仿宋_GB2312" w:hAnsi="仿宋_GB2312" w:eastAsia="仿宋_GB2312" w:cs="仿宋_GB2312"/>
          <w:b/>
          <w:bCs/>
          <w:kern w:val="0"/>
          <w:sz w:val="32"/>
          <w:szCs w:val="32"/>
        </w:rPr>
        <w:t>：</w:t>
      </w:r>
    </w:p>
    <w:p>
      <w:pPr>
        <w:widowControl/>
        <w:spacing w:line="560" w:lineRule="atLeast"/>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上海市教育</w:t>
      </w:r>
      <w:r>
        <w:rPr>
          <w:rFonts w:hint="eastAsia" w:ascii="仿宋_GB2312" w:hAnsi="仿宋_GB2312" w:eastAsia="仿宋_GB2312" w:cs="仿宋_GB2312"/>
          <w:b/>
          <w:bCs/>
          <w:sz w:val="36"/>
          <w:szCs w:val="36"/>
          <w:lang w:eastAsia="zh-CN"/>
        </w:rPr>
        <w:t>系统</w:t>
      </w:r>
      <w:r>
        <w:rPr>
          <w:rFonts w:hint="eastAsia" w:ascii="仿宋_GB2312" w:hAnsi="仿宋_GB2312" w:eastAsia="仿宋_GB2312" w:cs="仿宋_GB2312"/>
          <w:b/>
          <w:bCs/>
          <w:sz w:val="36"/>
          <w:szCs w:val="36"/>
        </w:rPr>
        <w:t>工会</w:t>
      </w:r>
      <w:r>
        <w:rPr>
          <w:rFonts w:hint="eastAsia" w:ascii="仿宋_GB2312" w:hAnsi="仿宋_GB2312" w:eastAsia="仿宋_GB2312" w:cs="仿宋_GB2312"/>
          <w:b/>
          <w:bCs/>
          <w:sz w:val="36"/>
          <w:szCs w:val="36"/>
          <w:lang w:eastAsia="zh-CN"/>
        </w:rPr>
        <w:t>理论研究会</w:t>
      </w:r>
    </w:p>
    <w:p>
      <w:pPr>
        <w:widowControl/>
        <w:spacing w:line="560" w:lineRule="atLeast"/>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201</w:t>
      </w:r>
      <w:r>
        <w:rPr>
          <w:rFonts w:hint="eastAsia" w:ascii="仿宋_GB2312" w:hAnsi="仿宋_GB2312" w:eastAsia="仿宋_GB2312" w:cs="仿宋_GB2312"/>
          <w:b/>
          <w:bCs/>
          <w:sz w:val="36"/>
          <w:szCs w:val="36"/>
          <w:lang w:val="en-US" w:eastAsia="zh-CN"/>
        </w:rPr>
        <w:t>5</w:t>
      </w:r>
      <w:r>
        <w:rPr>
          <w:rFonts w:hint="eastAsia" w:ascii="仿宋_GB2312" w:hAnsi="仿宋_GB2312" w:eastAsia="仿宋_GB2312" w:cs="仿宋_GB2312"/>
          <w:b/>
          <w:bCs/>
          <w:sz w:val="36"/>
          <w:szCs w:val="36"/>
        </w:rPr>
        <w:t>年</w:t>
      </w:r>
      <w:r>
        <w:rPr>
          <w:rFonts w:hint="eastAsia" w:ascii="仿宋_GB2312" w:hAnsi="仿宋_GB2312" w:eastAsia="仿宋_GB2312" w:cs="仿宋_GB2312"/>
          <w:b/>
          <w:bCs/>
          <w:sz w:val="36"/>
          <w:szCs w:val="36"/>
          <w:lang w:eastAsia="zh-CN"/>
        </w:rPr>
        <w:t>获奖成果名单</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eastAsia="zh-CN"/>
        </w:rPr>
        <w:t>一等奖</w:t>
      </w:r>
      <w:r>
        <w:rPr>
          <w:rFonts w:hint="eastAsia" w:ascii="仿宋_GB2312" w:hAnsi="仿宋_GB2312" w:eastAsia="仿宋_GB2312" w:cs="仿宋_GB2312"/>
          <w:b/>
          <w:bCs/>
          <w:color w:val="000000"/>
          <w:kern w:val="0"/>
          <w:sz w:val="28"/>
          <w:szCs w:val="28"/>
          <w:lang w:val="en-US" w:eastAsia="zh-CN"/>
        </w:rPr>
        <w:t>2篇</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jc w:val="both"/>
        <w:textAlignment w:val="auto"/>
        <w:outlineLvl w:val="9"/>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1.</w:t>
      </w:r>
      <w:r>
        <w:rPr>
          <w:rFonts w:hint="eastAsia" w:ascii="仿宋_GB2312" w:hAnsi="仿宋_GB2312" w:eastAsia="仿宋_GB2312" w:cs="仿宋_GB2312"/>
          <w:b w:val="0"/>
          <w:bCs w:val="0"/>
          <w:color w:val="auto"/>
          <w:kern w:val="0"/>
          <w:sz w:val="28"/>
          <w:szCs w:val="28"/>
          <w:lang w:eastAsia="zh-CN"/>
        </w:rPr>
        <w:t>上海交通大学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新媒体环境下提升高校工会宣传教育工作效果的创</w:t>
      </w:r>
      <w:r>
        <w:rPr>
          <w:rFonts w:hint="eastAsia" w:ascii="仿宋_GB2312" w:hAnsi="仿宋_GB2312" w:eastAsia="仿宋_GB2312" w:cs="仿宋_GB2312"/>
          <w:b w:val="0"/>
          <w:bCs w:val="0"/>
          <w:color w:val="auto"/>
          <w:kern w:val="0"/>
          <w:sz w:val="28"/>
          <w:szCs w:val="28"/>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eastAsia="zh-CN"/>
        </w:rPr>
        <w:t>新策略研究——以上海交通大学、上海大学、上海师范大学为例</w:t>
      </w:r>
      <w:r>
        <w:rPr>
          <w:rFonts w:hint="eastAsia" w:ascii="仿宋_GB2312" w:hAnsi="仿宋_GB2312" w:eastAsia="仿宋_GB2312" w:cs="仿宋_GB2312"/>
          <w:b w:val="0"/>
          <w:bCs w:val="0"/>
          <w:color w:val="auto"/>
          <w:kern w:val="0"/>
          <w:sz w:val="28"/>
          <w:szCs w:val="28"/>
          <w:lang w:eastAsia="zh-CN"/>
        </w:rPr>
        <w:tab/>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2.</w:t>
      </w:r>
      <w:r>
        <w:rPr>
          <w:rFonts w:hint="eastAsia" w:ascii="仿宋_GB2312" w:hAnsi="仿宋_GB2312" w:eastAsia="仿宋_GB2312" w:cs="仿宋_GB2312"/>
          <w:b w:val="0"/>
          <w:bCs w:val="0"/>
          <w:color w:val="auto"/>
          <w:kern w:val="0"/>
          <w:sz w:val="28"/>
          <w:szCs w:val="28"/>
          <w:lang w:eastAsia="zh-CN"/>
        </w:rPr>
        <w:t>上海大学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以法治思维、法治方式强化工会组织维权能力研究</w:t>
      </w:r>
      <w:r>
        <w:rPr>
          <w:rFonts w:hint="eastAsia" w:ascii="仿宋_GB2312" w:hAnsi="仿宋_GB2312" w:eastAsia="仿宋_GB2312" w:cs="仿宋_GB2312"/>
          <w:b w:val="0"/>
          <w:bCs w:val="0"/>
          <w:color w:val="auto"/>
          <w:kern w:val="0"/>
          <w:sz w:val="28"/>
          <w:szCs w:val="28"/>
          <w:lang w:eastAsia="zh-CN"/>
        </w:rPr>
        <w:tab/>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二等奖5篇</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3.</w:t>
      </w:r>
      <w:r>
        <w:rPr>
          <w:rFonts w:hint="eastAsia" w:ascii="仿宋_GB2312" w:hAnsi="仿宋_GB2312" w:eastAsia="仿宋_GB2312" w:cs="仿宋_GB2312"/>
          <w:b w:val="0"/>
          <w:bCs w:val="0"/>
          <w:color w:val="auto"/>
          <w:kern w:val="0"/>
          <w:sz w:val="28"/>
          <w:szCs w:val="28"/>
          <w:lang w:eastAsia="zh-CN"/>
        </w:rPr>
        <w:t>杨浦区教育工会</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eastAsia="zh-CN"/>
        </w:rPr>
        <w:t>义务教育学校绩效工资实施状况、问题及对策建议</w:t>
      </w:r>
      <w:r>
        <w:rPr>
          <w:rFonts w:hint="eastAsia" w:ascii="仿宋_GB2312" w:hAnsi="仿宋_GB2312" w:eastAsia="仿宋_GB2312" w:cs="仿宋_GB2312"/>
          <w:b w:val="0"/>
          <w:bCs w:val="0"/>
          <w:color w:val="auto"/>
          <w:kern w:val="0"/>
          <w:sz w:val="28"/>
          <w:szCs w:val="28"/>
          <w:lang w:eastAsia="zh-CN"/>
        </w:rPr>
        <w:tab/>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4.</w:t>
      </w:r>
      <w:r>
        <w:rPr>
          <w:rFonts w:hint="eastAsia" w:ascii="仿宋_GB2312" w:hAnsi="仿宋_GB2312" w:eastAsia="仿宋_GB2312" w:cs="仿宋_GB2312"/>
          <w:b w:val="0"/>
          <w:bCs w:val="0"/>
          <w:color w:val="auto"/>
          <w:kern w:val="0"/>
          <w:sz w:val="28"/>
          <w:szCs w:val="28"/>
          <w:lang w:eastAsia="zh-CN"/>
        </w:rPr>
        <w:t>上海电力学院</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上海市高校教师职业压力和心理健康的关系及对策建议分析</w:t>
      </w:r>
      <w:r>
        <w:rPr>
          <w:rFonts w:hint="eastAsia" w:ascii="仿宋_GB2312" w:hAnsi="仿宋_GB2312" w:eastAsia="仿宋_GB2312" w:cs="仿宋_GB2312"/>
          <w:b w:val="0"/>
          <w:bCs w:val="0"/>
          <w:color w:val="auto"/>
          <w:kern w:val="0"/>
          <w:sz w:val="28"/>
          <w:szCs w:val="28"/>
          <w:lang w:eastAsia="zh-CN"/>
        </w:rPr>
        <w:tab/>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5.</w:t>
      </w:r>
      <w:r>
        <w:rPr>
          <w:rFonts w:hint="eastAsia" w:ascii="仿宋_GB2312" w:hAnsi="仿宋_GB2312" w:eastAsia="仿宋_GB2312" w:cs="仿宋_GB2312"/>
          <w:b w:val="0"/>
          <w:bCs w:val="0"/>
          <w:color w:val="auto"/>
          <w:kern w:val="0"/>
          <w:sz w:val="28"/>
          <w:szCs w:val="28"/>
          <w:lang w:eastAsia="zh-CN"/>
        </w:rPr>
        <w:t>华东理工大学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高校后勤劳动争议治理中的工会作用研究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6.</w:t>
      </w:r>
      <w:r>
        <w:rPr>
          <w:rFonts w:hint="eastAsia" w:ascii="仿宋_GB2312" w:hAnsi="仿宋_GB2312" w:eastAsia="仿宋_GB2312" w:cs="仿宋_GB2312"/>
          <w:b w:val="0"/>
          <w:bCs w:val="0"/>
          <w:color w:val="auto"/>
          <w:kern w:val="0"/>
          <w:sz w:val="28"/>
          <w:szCs w:val="28"/>
          <w:lang w:eastAsia="zh-CN"/>
        </w:rPr>
        <w:t>上海财经大学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工会组织维权中的法治思维模式研究——以高等院校为视角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7.</w:t>
      </w:r>
      <w:r>
        <w:rPr>
          <w:rFonts w:hint="eastAsia" w:ascii="仿宋_GB2312" w:hAnsi="仿宋_GB2312" w:eastAsia="仿宋_GB2312" w:cs="仿宋_GB2312"/>
          <w:b w:val="0"/>
          <w:bCs w:val="0"/>
          <w:color w:val="auto"/>
          <w:kern w:val="0"/>
          <w:sz w:val="28"/>
          <w:szCs w:val="28"/>
          <w:lang w:eastAsia="zh-CN"/>
        </w:rPr>
        <w:t>上海师范大学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上海市民办高校教师工作满意度调查</w:t>
      </w:r>
      <w:r>
        <w:rPr>
          <w:rFonts w:hint="eastAsia" w:ascii="仿宋_GB2312" w:hAnsi="仿宋_GB2312" w:eastAsia="仿宋_GB2312" w:cs="仿宋_GB2312"/>
          <w:b w:val="0"/>
          <w:bCs w:val="0"/>
          <w:color w:val="auto"/>
          <w:kern w:val="0"/>
          <w:sz w:val="28"/>
          <w:szCs w:val="28"/>
          <w:lang w:eastAsia="zh-CN"/>
        </w:rPr>
        <w:tab/>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三等奖9篇</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8.</w:t>
      </w:r>
      <w:r>
        <w:rPr>
          <w:rFonts w:hint="eastAsia" w:ascii="仿宋_GB2312" w:hAnsi="仿宋_GB2312" w:eastAsia="仿宋_GB2312" w:cs="仿宋_GB2312"/>
          <w:b w:val="0"/>
          <w:bCs w:val="0"/>
          <w:color w:val="auto"/>
          <w:kern w:val="0"/>
          <w:sz w:val="28"/>
          <w:szCs w:val="28"/>
          <w:lang w:eastAsia="zh-CN"/>
        </w:rPr>
        <w:t>上海海事大学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高校青年教师职业精神培养的调研</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9.</w:t>
      </w:r>
      <w:r>
        <w:rPr>
          <w:rFonts w:hint="eastAsia" w:ascii="仿宋_GB2312" w:hAnsi="仿宋_GB2312" w:eastAsia="仿宋_GB2312" w:cs="仿宋_GB2312"/>
          <w:b w:val="0"/>
          <w:bCs w:val="0"/>
          <w:color w:val="auto"/>
          <w:kern w:val="0"/>
          <w:sz w:val="28"/>
          <w:szCs w:val="28"/>
          <w:lang w:eastAsia="zh-CN"/>
        </w:rPr>
        <w:t>同济大学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以法治思维、法治方式强化工会组织维权能力研究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10.</w:t>
      </w:r>
      <w:r>
        <w:rPr>
          <w:rFonts w:hint="eastAsia" w:ascii="仿宋_GB2312" w:hAnsi="仿宋_GB2312" w:eastAsia="仿宋_GB2312" w:cs="仿宋_GB2312"/>
          <w:b w:val="0"/>
          <w:bCs w:val="0"/>
          <w:color w:val="auto"/>
          <w:kern w:val="0"/>
          <w:sz w:val="28"/>
          <w:szCs w:val="28"/>
          <w:lang w:eastAsia="zh-CN"/>
        </w:rPr>
        <w:t>上海理工大学</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eastAsia="zh-CN"/>
        </w:rPr>
        <w:t>公立高校教职工利益协调机制、诉求表达机制、矛盾调处机制和权益保障机制建设研究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11.</w:t>
      </w:r>
      <w:r>
        <w:rPr>
          <w:rFonts w:hint="eastAsia" w:ascii="仿宋_GB2312" w:hAnsi="仿宋_GB2312" w:eastAsia="仿宋_GB2312" w:cs="仿宋_GB2312"/>
          <w:b w:val="0"/>
          <w:bCs w:val="0"/>
          <w:color w:val="auto"/>
          <w:kern w:val="0"/>
          <w:sz w:val="28"/>
          <w:szCs w:val="28"/>
          <w:lang w:eastAsia="zh-CN"/>
        </w:rPr>
        <w:t>上海外国语大学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发挥知识女性在社会基层治理中的作用——基于社会治理视角下的国别比较研究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12.</w:t>
      </w:r>
      <w:r>
        <w:rPr>
          <w:rFonts w:hint="eastAsia" w:ascii="仿宋_GB2312" w:hAnsi="仿宋_GB2312" w:eastAsia="仿宋_GB2312" w:cs="仿宋_GB2312"/>
          <w:b w:val="0"/>
          <w:bCs w:val="0"/>
          <w:color w:val="auto"/>
          <w:kern w:val="0"/>
          <w:sz w:val="28"/>
          <w:szCs w:val="28"/>
          <w:lang w:eastAsia="zh-CN"/>
        </w:rPr>
        <w:t>上海海洋大学</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群体心理学视角下高校教师凝聚力建设研究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13.</w:t>
      </w:r>
      <w:r>
        <w:rPr>
          <w:rFonts w:hint="eastAsia" w:ascii="仿宋_GB2312" w:hAnsi="仿宋_GB2312" w:eastAsia="仿宋_GB2312" w:cs="仿宋_GB2312"/>
          <w:b w:val="0"/>
          <w:bCs w:val="0"/>
          <w:color w:val="auto"/>
          <w:kern w:val="0"/>
          <w:sz w:val="28"/>
          <w:szCs w:val="28"/>
          <w:lang w:eastAsia="zh-CN"/>
        </w:rPr>
        <w:t>上海市教卫机关</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新形势下加强机关文化建设的实践与思考</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14.</w:t>
      </w:r>
      <w:r>
        <w:rPr>
          <w:rFonts w:hint="eastAsia" w:ascii="仿宋_GB2312" w:hAnsi="仿宋_GB2312" w:eastAsia="仿宋_GB2312" w:cs="仿宋_GB2312"/>
          <w:b w:val="0"/>
          <w:bCs w:val="0"/>
          <w:color w:val="auto"/>
          <w:kern w:val="0"/>
          <w:sz w:val="28"/>
          <w:szCs w:val="28"/>
          <w:lang w:eastAsia="zh-CN"/>
        </w:rPr>
        <w:t>闵行区教育工会</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工会加强制度建设的实践与思考</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lang w:val="en-US" w:eastAsia="zh-CN"/>
        </w:rPr>
        <w:t>15.</w:t>
      </w:r>
      <w:r>
        <w:rPr>
          <w:rFonts w:hint="eastAsia" w:ascii="仿宋_GB2312" w:hAnsi="仿宋_GB2312" w:eastAsia="仿宋_GB2312" w:cs="仿宋_GB2312"/>
          <w:b w:val="0"/>
          <w:bCs w:val="0"/>
          <w:color w:val="auto"/>
          <w:kern w:val="0"/>
          <w:sz w:val="28"/>
          <w:szCs w:val="28"/>
          <w:lang w:eastAsia="zh-CN"/>
        </w:rPr>
        <w:t>上海体育学院</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高校工会组织支持感对教职工学校承诺的影响机制研究——以上海体育学院工会教职工特色协会支持为例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pPr>
      <w:r>
        <w:rPr>
          <w:rFonts w:hint="eastAsia" w:ascii="仿宋_GB2312" w:hAnsi="仿宋_GB2312" w:eastAsia="仿宋_GB2312" w:cs="仿宋_GB2312"/>
          <w:b w:val="0"/>
          <w:bCs w:val="0"/>
          <w:color w:val="auto"/>
          <w:kern w:val="0"/>
          <w:sz w:val="28"/>
          <w:szCs w:val="28"/>
          <w:lang w:val="en-US" w:eastAsia="zh-CN"/>
        </w:rPr>
        <w:t>16.</w:t>
      </w:r>
      <w:r>
        <w:rPr>
          <w:rFonts w:hint="eastAsia" w:ascii="仿宋_GB2312" w:hAnsi="仿宋_GB2312" w:eastAsia="仿宋_GB2312" w:cs="仿宋_GB2312"/>
          <w:b w:val="0"/>
          <w:bCs w:val="0"/>
          <w:color w:val="auto"/>
          <w:kern w:val="0"/>
          <w:sz w:val="28"/>
          <w:szCs w:val="28"/>
          <w:lang w:eastAsia="zh-CN"/>
        </w:rPr>
        <w:t>虹口区教育工会</w:t>
      </w:r>
      <w:r>
        <w:rPr>
          <w:rFonts w:hint="eastAsia" w:ascii="仿宋_GB2312" w:hAnsi="仿宋_GB2312" w:eastAsia="仿宋_GB2312" w:cs="仿宋_GB2312"/>
          <w:b w:val="0"/>
          <w:bCs w:val="0"/>
          <w:color w:val="auto"/>
          <w:kern w:val="0"/>
          <w:sz w:val="28"/>
          <w:szCs w:val="28"/>
          <w:lang w:eastAsia="zh-CN"/>
        </w:rPr>
        <w:tab/>
      </w:r>
      <w:r>
        <w:rPr>
          <w:rFonts w:hint="eastAsia" w:ascii="仿宋_GB2312" w:hAnsi="仿宋_GB2312" w:eastAsia="仿宋_GB2312" w:cs="仿宋_GB2312"/>
          <w:b w:val="0"/>
          <w:bCs w:val="0"/>
          <w:color w:val="auto"/>
          <w:kern w:val="0"/>
          <w:sz w:val="28"/>
          <w:szCs w:val="28"/>
          <w:lang w:eastAsia="zh-CN"/>
        </w:rPr>
        <w:t>基于培育践行社会主义核心价值观的师德建设调研分析与行动策略研究</w:t>
      </w:r>
      <w:bookmarkStart w:id="0" w:name="_GoBack"/>
      <w:bookmarkEnd w:id="0"/>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06E44"/>
    <w:rsid w:val="01883711"/>
    <w:rsid w:val="01BA73E4"/>
    <w:rsid w:val="04675D48"/>
    <w:rsid w:val="0726449F"/>
    <w:rsid w:val="08B84D5E"/>
    <w:rsid w:val="09FB666F"/>
    <w:rsid w:val="0C476233"/>
    <w:rsid w:val="100A2C42"/>
    <w:rsid w:val="11E703EE"/>
    <w:rsid w:val="1248718E"/>
    <w:rsid w:val="125C25AB"/>
    <w:rsid w:val="184503DD"/>
    <w:rsid w:val="1BDD5A46"/>
    <w:rsid w:val="1F880A4A"/>
    <w:rsid w:val="216F2E69"/>
    <w:rsid w:val="22A45464"/>
    <w:rsid w:val="22B76683"/>
    <w:rsid w:val="23D7455C"/>
    <w:rsid w:val="27050E90"/>
    <w:rsid w:val="279B2689"/>
    <w:rsid w:val="29167977"/>
    <w:rsid w:val="2B9B099A"/>
    <w:rsid w:val="311E61A5"/>
    <w:rsid w:val="32036D1A"/>
    <w:rsid w:val="323352EB"/>
    <w:rsid w:val="3476679F"/>
    <w:rsid w:val="34FD577E"/>
    <w:rsid w:val="35A35F0C"/>
    <w:rsid w:val="37A61E5A"/>
    <w:rsid w:val="3AF6384B"/>
    <w:rsid w:val="3D550DAB"/>
    <w:rsid w:val="3DFD5D41"/>
    <w:rsid w:val="3E266F05"/>
    <w:rsid w:val="449A1098"/>
    <w:rsid w:val="44B37A44"/>
    <w:rsid w:val="46CC3936"/>
    <w:rsid w:val="4937272B"/>
    <w:rsid w:val="4DB56D8D"/>
    <w:rsid w:val="53D9371F"/>
    <w:rsid w:val="562E6171"/>
    <w:rsid w:val="59456704"/>
    <w:rsid w:val="59874BEF"/>
    <w:rsid w:val="5ADF64A5"/>
    <w:rsid w:val="5BEB1E5A"/>
    <w:rsid w:val="5E106E44"/>
    <w:rsid w:val="65541E4C"/>
    <w:rsid w:val="65DD0AAC"/>
    <w:rsid w:val="66662F8E"/>
    <w:rsid w:val="6C026743"/>
    <w:rsid w:val="6F6B79D9"/>
    <w:rsid w:val="745D2CF4"/>
    <w:rsid w:val="76E75C21"/>
    <w:rsid w:val="78630991"/>
    <w:rsid w:val="795D1EAD"/>
    <w:rsid w:val="7EA03C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Company>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2016-03-07T08:23:00Z</dcterms:created>
  <dc:creator>Lenovo</dc:creator>
  <cp:lastModifiedBy>Lenovo</cp:lastModifiedBy>
  <cp:lastPrinted>2016-03-22T06:45:31Z</cp:lastPrinted>
  <dcterms:modified xsi:type="dcterms:W3CDTF">2016-03-22T06:46:32Z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